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7F2B2519" w14:textId="2B079CF8" w:rsidR="008C2947" w:rsidRPr="008C2947" w:rsidRDefault="00C04721" w:rsidP="00CF4EFA">
      <w:pPr>
        <w:pStyle w:val="Heading1"/>
        <w:ind w:left="0" w:firstLine="0"/>
        <w:rPr>
          <w:rFonts w:ascii="Franklin Gothic Book" w:hAnsi="Franklin Gothic Book"/>
          <w:sz w:val="24"/>
          <w:szCs w:val="24"/>
        </w:rPr>
      </w:pPr>
      <w:r w:rsidRPr="00C97CE1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6013CE">
        <w:rPr>
          <w:rFonts w:ascii="Franklin Gothic Book" w:hAnsi="Franklin Gothic Book" w:cs="Tahoma"/>
          <w:sz w:val="24"/>
          <w:szCs w:val="24"/>
        </w:rPr>
        <w:t>TPB Participation Plan Implementation Evaluation</w:t>
      </w:r>
    </w:p>
    <w:p w14:paraId="0C83DF49" w14:textId="7EA8A450" w:rsidR="00561F35" w:rsidRPr="00561F35" w:rsidRDefault="006013CE" w:rsidP="008C2947">
      <w:pPr>
        <w:spacing w:after="0" w:line="240" w:lineRule="auto"/>
      </w:pPr>
      <w:r>
        <w:rPr>
          <w:rFonts w:ascii="Franklin Gothic Book" w:hAnsi="Franklin Gothic Book"/>
          <w:color w:val="000000"/>
          <w:kern w:val="24"/>
          <w:sz w:val="24"/>
          <w:szCs w:val="24"/>
        </w:rPr>
        <w:t>TPB Access for All Advisory Committee, December 16, 2022</w:t>
      </w:r>
    </w:p>
    <w:p w14:paraId="1EC96B06" w14:textId="6ED4CAB0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470C6B5" w14:textId="77777777" w:rsidR="00B303F0" w:rsidRDefault="00B303F0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76ADF4D5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6013CE">
        <w:rPr>
          <w:rFonts w:ascii="Franklin Gothic Book" w:hAnsi="Franklin Gothic Book" w:cs="Tahoma"/>
          <w:sz w:val="24"/>
          <w:szCs w:val="24"/>
        </w:rPr>
        <w:t>Background and Purpose</w:t>
      </w:r>
    </w:p>
    <w:p w14:paraId="043C8887" w14:textId="378C92DD" w:rsidR="00351132" w:rsidRPr="00351132" w:rsidRDefault="00351132" w:rsidP="00351132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130914D0" w14:textId="047FDAE8" w:rsidR="006013CE" w:rsidRPr="006013CE" w:rsidRDefault="006013CE" w:rsidP="00C7490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6013CE">
        <w:rPr>
          <w:rFonts w:ascii="Franklin Gothic Book" w:eastAsiaTheme="minorHAnsi" w:hAnsi="Franklin Gothic Book" w:cstheme="minorBidi"/>
          <w:sz w:val="24"/>
          <w:szCs w:val="24"/>
        </w:rPr>
        <w:t>TPB contracted with Foursquare Integrated Transportation Planning, Inc.</w:t>
      </w:r>
      <w:r w:rsidRPr="006013CE">
        <w:rPr>
          <w:rFonts w:ascii="Franklin Gothic Book" w:eastAsiaTheme="minorHAnsi" w:hAnsi="Franklin Gothic Book" w:cstheme="minorBidi"/>
          <w:sz w:val="24"/>
          <w:szCs w:val="24"/>
        </w:rPr>
        <w:t xml:space="preserve"> </w:t>
      </w:r>
      <w:r w:rsidRPr="006013CE">
        <w:rPr>
          <w:rFonts w:ascii="Franklin Gothic Book" w:eastAsiaTheme="minorHAnsi" w:hAnsi="Franklin Gothic Book" w:cstheme="minorBidi"/>
          <w:sz w:val="24"/>
          <w:szCs w:val="24"/>
        </w:rPr>
        <w:t>(Foursquare ITP) through ICF to conduct a review of the TPB’s public</w:t>
      </w:r>
      <w:r>
        <w:rPr>
          <w:rFonts w:ascii="Franklin Gothic Book" w:eastAsiaTheme="minorHAnsi" w:hAnsi="Franklin Gothic Book" w:cstheme="minorBidi"/>
          <w:sz w:val="24"/>
          <w:szCs w:val="24"/>
        </w:rPr>
        <w:t xml:space="preserve"> </w:t>
      </w:r>
      <w:r w:rsidRPr="006013CE">
        <w:rPr>
          <w:rFonts w:ascii="Franklin Gothic Book" w:eastAsiaTheme="minorHAnsi" w:hAnsi="Franklin Gothic Book" w:cstheme="minorBidi"/>
          <w:sz w:val="24"/>
          <w:szCs w:val="24"/>
        </w:rPr>
        <w:t>participation implementation activities from 2019-2022.</w:t>
      </w:r>
    </w:p>
    <w:p w14:paraId="1058D8A9" w14:textId="235BF2EE" w:rsidR="006013CE" w:rsidRPr="006013CE" w:rsidRDefault="006013CE" w:rsidP="006629F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6013CE">
        <w:rPr>
          <w:rFonts w:ascii="Franklin Gothic Book" w:eastAsiaTheme="minorHAnsi" w:hAnsi="Franklin Gothic Book" w:cstheme="minorBidi"/>
          <w:sz w:val="24"/>
          <w:szCs w:val="24"/>
        </w:rPr>
        <w:t>The final report documents the research effort, findings, and</w:t>
      </w:r>
      <w:r>
        <w:rPr>
          <w:rFonts w:ascii="Franklin Gothic Book" w:eastAsiaTheme="minorHAnsi" w:hAnsi="Franklin Gothic Book" w:cstheme="minorBidi"/>
          <w:sz w:val="24"/>
          <w:szCs w:val="24"/>
        </w:rPr>
        <w:t xml:space="preserve"> </w:t>
      </w:r>
      <w:r w:rsidRPr="006013CE">
        <w:rPr>
          <w:rFonts w:ascii="Franklin Gothic Book" w:eastAsiaTheme="minorHAnsi" w:hAnsi="Franklin Gothic Book" w:cstheme="minorBidi"/>
          <w:sz w:val="24"/>
          <w:szCs w:val="24"/>
        </w:rPr>
        <w:t>recommendations from Foursquare ITP’s evaluation.</w:t>
      </w:r>
    </w:p>
    <w:p w14:paraId="5BBC03B2" w14:textId="781CACE9" w:rsidR="00D70F94" w:rsidRPr="006013CE" w:rsidRDefault="006013CE" w:rsidP="00260B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6013CE">
        <w:rPr>
          <w:rFonts w:ascii="Franklin Gothic Book" w:eastAsiaTheme="minorHAnsi" w:hAnsi="Franklin Gothic Book" w:cstheme="minorBidi"/>
          <w:sz w:val="24"/>
          <w:szCs w:val="24"/>
        </w:rPr>
        <w:t>This presentation provides an overview of the report and highlights key</w:t>
      </w:r>
      <w:r>
        <w:rPr>
          <w:rFonts w:ascii="Franklin Gothic Book" w:eastAsiaTheme="minorHAnsi" w:hAnsi="Franklin Gothic Book" w:cstheme="minorBidi"/>
          <w:sz w:val="24"/>
          <w:szCs w:val="24"/>
        </w:rPr>
        <w:t xml:space="preserve"> </w:t>
      </w:r>
      <w:r w:rsidRPr="006013CE">
        <w:rPr>
          <w:rFonts w:ascii="Franklin Gothic Book" w:eastAsiaTheme="minorHAnsi" w:hAnsi="Franklin Gothic Book" w:cstheme="minorBidi"/>
          <w:sz w:val="24"/>
          <w:szCs w:val="24"/>
        </w:rPr>
        <w:t>findings that are relevant to the AFA.</w:t>
      </w:r>
    </w:p>
    <w:p w14:paraId="2A1F08CD" w14:textId="5C533F8B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B9B155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533FE17" w14:textId="215A4021" w:rsidR="00CF4EFA" w:rsidRDefault="00FF301E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6013CE">
        <w:rPr>
          <w:rFonts w:ascii="Franklin Gothic Book" w:hAnsi="Franklin Gothic Book" w:cs="Tahoma"/>
          <w:sz w:val="24"/>
          <w:szCs w:val="24"/>
        </w:rPr>
        <w:t>Research Approach</w:t>
      </w:r>
    </w:p>
    <w:p w14:paraId="66F29403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113349" w14:textId="0CA3633A" w:rsidR="006013CE" w:rsidRPr="006013CE" w:rsidRDefault="006013CE" w:rsidP="006013C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Material Review</w:t>
      </w:r>
    </w:p>
    <w:p w14:paraId="16E935CA" w14:textId="5FCB717D" w:rsidR="006013CE" w:rsidRP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Participation policies and goals</w:t>
      </w:r>
    </w:p>
    <w:p w14:paraId="0BC137B0" w14:textId="19028621" w:rsidR="006013CE" w:rsidRP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Public outreach activities</w:t>
      </w:r>
    </w:p>
    <w:p w14:paraId="0E822259" w14:textId="3C0DEC87" w:rsidR="006013CE" w:rsidRP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Ongoing</w:t>
      </w:r>
    </w:p>
    <w:p w14:paraId="316C67C8" w14:textId="74421C3E" w:rsidR="006013CE" w:rsidRP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Visualize 2045</w:t>
      </w:r>
    </w:p>
    <w:p w14:paraId="1C2CEE5C" w14:textId="6349B1A0" w:rsid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302DA1" w14:textId="77777777" w:rsidR="00B303F0" w:rsidRPr="0052056A" w:rsidRDefault="00B303F0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2F91A25" w14:textId="574BD462" w:rsidR="006013CE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4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>
        <w:rPr>
          <w:rFonts w:ascii="Franklin Gothic Book" w:hAnsi="Franklin Gothic Book" w:cs="Tahoma"/>
          <w:sz w:val="24"/>
          <w:szCs w:val="24"/>
        </w:rPr>
        <w:t>Research Approach</w:t>
      </w:r>
    </w:p>
    <w:p w14:paraId="296CBDBB" w14:textId="77777777" w:rsidR="006013CE" w:rsidRPr="00CF4EFA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F04DFE3" w14:textId="77777777" w:rsidR="006013CE" w:rsidRPr="006013CE" w:rsidRDefault="006013CE" w:rsidP="006013C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Focus Groups</w:t>
      </w:r>
    </w:p>
    <w:p w14:paraId="40C368B5" w14:textId="193D1CF1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Community Advisory Committee</w:t>
      </w:r>
    </w:p>
    <w:p w14:paraId="588BFA54" w14:textId="58C8FBFA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TPB Technical Committee</w:t>
      </w:r>
    </w:p>
    <w:p w14:paraId="3177807C" w14:textId="658CA6EA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Project Implementation Staff</w:t>
      </w:r>
    </w:p>
    <w:p w14:paraId="0633341D" w14:textId="77777777" w:rsidR="006013CE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562F434" w14:textId="77777777" w:rsidR="006013CE" w:rsidRPr="0052056A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3F6D84" w14:textId="0689B4C6" w:rsidR="006013CE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5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>
        <w:rPr>
          <w:rFonts w:ascii="Franklin Gothic Book" w:hAnsi="Franklin Gothic Book" w:cs="Tahoma"/>
          <w:sz w:val="24"/>
          <w:szCs w:val="24"/>
        </w:rPr>
        <w:t>Research Approach</w:t>
      </w:r>
    </w:p>
    <w:p w14:paraId="4C596042" w14:textId="77777777" w:rsidR="006013CE" w:rsidRPr="00CF4EFA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49922C5" w14:textId="77777777" w:rsidR="006013CE" w:rsidRPr="006013CE" w:rsidRDefault="006013CE" w:rsidP="006013C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Rubric Evaluation</w:t>
      </w:r>
    </w:p>
    <w:p w14:paraId="59613830" w14:textId="1304A409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Public Participation Plan</w:t>
      </w:r>
    </w:p>
    <w:p w14:paraId="3415AE88" w14:textId="72EDF72A" w:rsid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Policy Goals</w:t>
      </w:r>
    </w:p>
    <w:p w14:paraId="2E2FF5AD" w14:textId="4844EEAD" w:rsid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Principles of Engagement</w:t>
      </w:r>
    </w:p>
    <w:p w14:paraId="1785374B" w14:textId="08FB43ED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Title VI Program and Plan</w:t>
      </w:r>
    </w:p>
    <w:p w14:paraId="2A69947F" w14:textId="0C2CD8EA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COG Accommodations Policy</w:t>
      </w:r>
    </w:p>
    <w:p w14:paraId="21D79CEF" w14:textId="6BE8B47E" w:rsidR="006013CE" w:rsidRDefault="006013CE" w:rsidP="006013C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Recommendations</w:t>
      </w:r>
    </w:p>
    <w:p w14:paraId="67AC4D98" w14:textId="77777777" w:rsidR="006013CE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829B914" w14:textId="77777777" w:rsidR="006013CE" w:rsidRPr="0052056A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5C8814" w14:textId="4C90BBC0" w:rsidR="006013CE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6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>
        <w:rPr>
          <w:rFonts w:ascii="Franklin Gothic Book" w:hAnsi="Franklin Gothic Book" w:cs="Tahoma"/>
          <w:sz w:val="24"/>
          <w:szCs w:val="24"/>
        </w:rPr>
        <w:t>Research Approach</w:t>
      </w:r>
    </w:p>
    <w:p w14:paraId="3ADD2B27" w14:textId="77777777" w:rsidR="006013CE" w:rsidRPr="00CF4EFA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49C2EF" w14:textId="677FA3CB" w:rsidR="006013CE" w:rsidRDefault="006013CE" w:rsidP="006013C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Recommendations</w:t>
      </w:r>
    </w:p>
    <w:p w14:paraId="26BB83EE" w14:textId="30BF572A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Status updates on recommendations from the 2019 evaluation provided by TPB staff</w:t>
      </w:r>
    </w:p>
    <w:p w14:paraId="377FBB87" w14:textId="729F33D4" w:rsidR="006013CE" w:rsidRDefault="006013CE" w:rsidP="006013CE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New recommendations regarding:</w:t>
      </w:r>
    </w:p>
    <w:p w14:paraId="60944E04" w14:textId="1318CB6F" w:rsid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Purpose and goals of public participation</w:t>
      </w:r>
    </w:p>
    <w:p w14:paraId="39411DA4" w14:textId="0C212E0C" w:rsid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Current practices and tools</w:t>
      </w:r>
    </w:p>
    <w:p w14:paraId="6FF03AED" w14:textId="5BF36B27" w:rsidR="006013CE" w:rsidRDefault="006013CE" w:rsidP="006013CE">
      <w:pPr>
        <w:pStyle w:val="ListParagraph"/>
        <w:numPr>
          <w:ilvl w:val="2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New strategies, approaches, and tools</w:t>
      </w:r>
    </w:p>
    <w:p w14:paraId="2DC81C0C" w14:textId="77777777" w:rsidR="006013CE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E8CE4D" w14:textId="77777777" w:rsidR="006013CE" w:rsidRPr="0052056A" w:rsidRDefault="006013CE" w:rsidP="006013C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C8A3F7" w14:textId="07D797A2" w:rsidR="00CF4EFA" w:rsidRDefault="0074520E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 xml:space="preserve">Slide </w:t>
      </w:r>
      <w:r w:rsidR="006013CE">
        <w:rPr>
          <w:rFonts w:ascii="Franklin Gothic Book" w:hAnsi="Franklin Gothic Book" w:cs="Tahoma"/>
          <w:sz w:val="24"/>
          <w:szCs w:val="24"/>
        </w:rPr>
        <w:t>7</w:t>
      </w:r>
      <w:r w:rsidRPr="00A054FA">
        <w:rPr>
          <w:rFonts w:ascii="Franklin Gothic Book" w:hAnsi="Franklin Gothic Book" w:cs="Tahoma"/>
          <w:sz w:val="24"/>
          <w:szCs w:val="24"/>
        </w:rPr>
        <w:t>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bookmarkStart w:id="0" w:name="_Hlk2778110"/>
      <w:r w:rsidR="006013CE">
        <w:rPr>
          <w:rFonts w:ascii="Franklin Gothic Book" w:hAnsi="Franklin Gothic Book"/>
          <w:sz w:val="24"/>
          <w:szCs w:val="24"/>
        </w:rPr>
        <w:t>Selected Observations and Recommendations</w:t>
      </w:r>
    </w:p>
    <w:p w14:paraId="182E018B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E386B18" w14:textId="12EB30ED" w:rsidR="00351132" w:rsidRDefault="006013CE" w:rsidP="00DE25AB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Evaluations Factors then Observations followed by Recommendations</w:t>
      </w:r>
    </w:p>
    <w:p w14:paraId="2C04B212" w14:textId="33BE6865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B7ABE1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044E9C6" w14:textId="2C59152B" w:rsidR="00CF4EFA" w:rsidRDefault="00DF0DDF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6013CE">
        <w:rPr>
          <w:rFonts w:ascii="Franklin Gothic Book" w:hAnsi="Franklin Gothic Book" w:cs="Tahoma"/>
          <w:sz w:val="24"/>
          <w:szCs w:val="24"/>
        </w:rPr>
        <w:t>8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0"/>
      <w:r w:rsidR="006013CE">
        <w:rPr>
          <w:rFonts w:ascii="Franklin Gothic Book" w:hAnsi="Franklin Gothic Book" w:cs="Tahoma"/>
          <w:sz w:val="24"/>
          <w:szCs w:val="24"/>
        </w:rPr>
        <w:t>Evaluation Factor: Gathering Input from Diverse Perspectives (Policy Goal from Participation Plan)</w:t>
      </w:r>
    </w:p>
    <w:p w14:paraId="2089112E" w14:textId="77777777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D5FC546" w14:textId="67123D13" w:rsidR="006013CE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Gather input from diverse perspectives. The TPB will encourage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participation from diverse constituencies and will provide for discussion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about transportation issues that are responsive to the interests of different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constituencies.</w:t>
      </w:r>
    </w:p>
    <w:p w14:paraId="41BDF8F7" w14:textId="77777777" w:rsidR="006013CE" w:rsidRPr="006013CE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4309D0" w14:textId="6F8640B9" w:rsidR="00351132" w:rsidRPr="00B303F0" w:rsidRDefault="006013CE" w:rsidP="006013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In addition to encouraging input from people with different racial, ethnic,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and linguistic backgrounds, the TPB will seek the perspectives of people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who use all transportation modes and come from all areas of the region.</w:t>
      </w:r>
    </w:p>
    <w:p w14:paraId="35380840" w14:textId="14BF3780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C0F688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0C77F9" w14:textId="40E5CA46" w:rsidR="00CF4EFA" w:rsidRPr="006013CE" w:rsidRDefault="00457E9D" w:rsidP="00CF4EFA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6013CE">
        <w:rPr>
          <w:rFonts w:ascii="Franklin Gothic Book" w:hAnsi="Franklin Gothic Book" w:cs="Tahoma"/>
          <w:sz w:val="24"/>
          <w:szCs w:val="24"/>
        </w:rPr>
        <w:t>9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6013CE">
        <w:rPr>
          <w:rFonts w:ascii="Franklin Gothic Book" w:hAnsi="Franklin Gothic Book" w:cs="Tahoma"/>
          <w:sz w:val="24"/>
          <w:szCs w:val="24"/>
        </w:rPr>
        <w:t>Observations</w:t>
      </w:r>
    </w:p>
    <w:p w14:paraId="1B239669" w14:textId="1AEC6191" w:rsidR="00CF4EFA" w:rsidRPr="006013CE" w:rsidRDefault="006013CE" w:rsidP="00676E69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 xml:space="preserve">From AFA focus group: </w:t>
      </w:r>
      <w:r w:rsidRPr="006013CE">
        <w:rPr>
          <w:rFonts w:ascii="Franklin Gothic Book" w:hAnsi="Franklin Gothic Book" w:cs="Tahoma"/>
          <w:sz w:val="24"/>
          <w:szCs w:val="24"/>
        </w:rPr>
        <w:t>“I think TPB has done an incredible outreach job of being more inclusive and meeting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people where they are.”</w:t>
      </w:r>
    </w:p>
    <w:p w14:paraId="443AFC85" w14:textId="03DE4EBC" w:rsidR="006013CE" w:rsidRPr="006013CE" w:rsidRDefault="006013CE" w:rsidP="003A7613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 xml:space="preserve">From the TPB Technical Committee focus group: </w:t>
      </w:r>
      <w:r w:rsidRPr="006013CE">
        <w:rPr>
          <w:rFonts w:ascii="Franklin Gothic Book" w:hAnsi="Franklin Gothic Book" w:cs="Tahoma"/>
          <w:sz w:val="24"/>
          <w:szCs w:val="24"/>
        </w:rPr>
        <w:t>“While difficult, so much more can be done as these are often the groups that require the</w:t>
      </w:r>
      <w:r w:rsidRPr="006013CE"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most effort to reach and enable attendance at meetings, etc. Every effort must be made</w:t>
      </w:r>
      <w:r w:rsidRPr="006013CE"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to get input from historically disadvantaged communities and [those with the greatest]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need.”</w:t>
      </w:r>
    </w:p>
    <w:p w14:paraId="3CA6496F" w14:textId="117FD4BD" w:rsidR="006013CE" w:rsidRPr="006013CE" w:rsidRDefault="006013CE" w:rsidP="00D52AD9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Visualize 2045 survey consultants noted that more people could be</w:t>
      </w:r>
      <w:r w:rsidRPr="006013CE"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incentivized to participate in surveys in the future with a post-incentive in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addition to the pre-incentive that was used this past time.</w:t>
      </w:r>
    </w:p>
    <w:p w14:paraId="7C590F50" w14:textId="1AD9C2B4" w:rsidR="006013CE" w:rsidRPr="006013CE" w:rsidRDefault="006013CE" w:rsidP="0080415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013CE">
        <w:rPr>
          <w:rFonts w:ascii="Franklin Gothic Book" w:hAnsi="Franklin Gothic Book" w:cs="Tahoma"/>
          <w:sz w:val="24"/>
          <w:szCs w:val="24"/>
        </w:rPr>
        <w:t>Focus group participants discussed the need for varied meeting times for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013CE">
        <w:rPr>
          <w:rFonts w:ascii="Franklin Gothic Book" w:hAnsi="Franklin Gothic Book" w:cs="Tahoma"/>
          <w:sz w:val="24"/>
          <w:szCs w:val="24"/>
        </w:rPr>
        <w:t>those with different work schedules.</w:t>
      </w:r>
    </w:p>
    <w:p w14:paraId="03454B07" w14:textId="71C76EB6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EF2DDD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C981C0" w14:textId="5B6DAF2A" w:rsidR="00CF4EFA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3D048A">
        <w:rPr>
          <w:rFonts w:ascii="Franklin Gothic Book" w:hAnsi="Franklin Gothic Book" w:cs="Tahoma"/>
          <w:sz w:val="24"/>
          <w:szCs w:val="24"/>
        </w:rPr>
        <w:t>10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D048A">
        <w:rPr>
          <w:rFonts w:ascii="Franklin Gothic Book" w:hAnsi="Franklin Gothic Book" w:cs="Tahoma"/>
          <w:sz w:val="24"/>
          <w:szCs w:val="24"/>
        </w:rPr>
        <w:t>Recommendations</w:t>
      </w:r>
    </w:p>
    <w:p w14:paraId="4228C571" w14:textId="312B6A9A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87866E5" w14:textId="65919DF4" w:rsidR="003D048A" w:rsidRPr="003D048A" w:rsidRDefault="003D048A" w:rsidP="004F5271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Offer both pre- and post-incentives for taking surveys or participating in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focus groups.</w:t>
      </w:r>
    </w:p>
    <w:p w14:paraId="6E1054E7" w14:textId="5FF60D29" w:rsidR="003D048A" w:rsidRPr="003D048A" w:rsidRDefault="003D048A" w:rsidP="003D048A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Explore the feasibility of oversampling EEAs for surveys.</w:t>
      </w:r>
    </w:p>
    <w:p w14:paraId="03960979" w14:textId="755E7B09" w:rsidR="003D048A" w:rsidRPr="003D048A" w:rsidRDefault="003D048A" w:rsidP="003D048A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Always provide a virtual participation opportunity for meetings.</w:t>
      </w:r>
    </w:p>
    <w:p w14:paraId="69A554A8" w14:textId="3BDF6ED8" w:rsidR="00CF4EFA" w:rsidRPr="003D048A" w:rsidRDefault="003D048A" w:rsidP="009E3FA4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Plan events to occur during a variety of times of the day and days of the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week.</w:t>
      </w:r>
    </w:p>
    <w:p w14:paraId="186486AB" w14:textId="05AC30EF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232CBF7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A0102B" w14:textId="27CCF26D" w:rsidR="00CF4EFA" w:rsidRDefault="002521F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3D048A">
        <w:rPr>
          <w:rFonts w:ascii="Franklin Gothic Book" w:hAnsi="Franklin Gothic Book" w:cs="Tahoma"/>
          <w:sz w:val="24"/>
          <w:szCs w:val="24"/>
        </w:rPr>
        <w:t>11</w:t>
      </w:r>
      <w:r w:rsidRPr="00457E9D">
        <w:rPr>
          <w:rFonts w:ascii="Franklin Gothic Book" w:hAnsi="Franklin Gothic Book" w:cs="Tahoma"/>
          <w:sz w:val="24"/>
          <w:szCs w:val="24"/>
        </w:rPr>
        <w:t xml:space="preserve">: </w:t>
      </w:r>
      <w:r w:rsidR="003D048A">
        <w:rPr>
          <w:rFonts w:ascii="Franklin Gothic Book" w:hAnsi="Franklin Gothic Book" w:cs="Tahoma"/>
          <w:sz w:val="24"/>
          <w:szCs w:val="24"/>
        </w:rPr>
        <w:t>Evaluation Factor: Equity Perspective (Principle for Engagement from Participation Plan)</w:t>
      </w:r>
    </w:p>
    <w:p w14:paraId="51CA69E8" w14:textId="5D4DC4D8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1429D0E" w14:textId="795BEA06" w:rsidR="003D048A" w:rsidRPr="003D048A" w:rsidRDefault="003D048A" w:rsidP="003D04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Staff strive to incorporate an equity perspective into their work activities so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that work acknowledges and seeks to accommodate different contexts,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experiences, and abilities.</w:t>
      </w:r>
    </w:p>
    <w:p w14:paraId="36A6B27A" w14:textId="77777777" w:rsidR="003D048A" w:rsidRDefault="003D048A" w:rsidP="003D04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B856AF6" w14:textId="37066E0E" w:rsidR="00CF4EFA" w:rsidRPr="003D048A" w:rsidRDefault="003D048A" w:rsidP="003D04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This equity perspective is informed by COG’s Title VI Plan and Program, the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TPB Equity Statement, and the TPB’s Equity Emphasis Areas. It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acknowledges past inequities and barriers to involvement and seeks to be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more just.</w:t>
      </w:r>
    </w:p>
    <w:p w14:paraId="1A537DCD" w14:textId="0CB8D346" w:rsidR="00B303F0" w:rsidRDefault="00B303F0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CF85A9" w14:textId="77777777" w:rsidR="00457E9D" w:rsidRDefault="00457E9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E3585C" w14:textId="58BB0F03" w:rsidR="00782598" w:rsidRDefault="0078259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3D048A">
        <w:rPr>
          <w:rFonts w:ascii="Franklin Gothic Book" w:hAnsi="Franklin Gothic Book" w:cs="Tahoma"/>
          <w:sz w:val="24"/>
          <w:szCs w:val="24"/>
        </w:rPr>
        <w:t>12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D048A">
        <w:rPr>
          <w:rFonts w:ascii="Franklin Gothic Book" w:hAnsi="Franklin Gothic Book" w:cs="Tahoma"/>
          <w:sz w:val="24"/>
          <w:szCs w:val="24"/>
        </w:rPr>
        <w:t>Observations</w:t>
      </w:r>
    </w:p>
    <w:p w14:paraId="24683021" w14:textId="4C0B2BDE" w:rsidR="00CF4EFA" w:rsidRDefault="00CF4EFA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514FCF9" w14:textId="2CF09997" w:rsidR="003D048A" w:rsidRPr="003D048A" w:rsidRDefault="003D048A" w:rsidP="00F1795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TPB tracks race and ethnicity data of members of its advisory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proofErr w:type="gramStart"/>
      <w:r w:rsidRPr="003D048A">
        <w:rPr>
          <w:rFonts w:ascii="Franklin Gothic Book" w:hAnsi="Franklin Gothic Book" w:cs="Tahoma"/>
          <w:sz w:val="24"/>
          <w:szCs w:val="24"/>
        </w:rPr>
        <w:t>committees</w:t>
      </w:r>
      <w:proofErr w:type="gramEnd"/>
      <w:r w:rsidRPr="003D048A">
        <w:rPr>
          <w:rFonts w:ascii="Franklin Gothic Book" w:hAnsi="Franklin Gothic Book" w:cs="Tahoma"/>
          <w:sz w:val="24"/>
          <w:szCs w:val="24"/>
        </w:rPr>
        <w:t xml:space="preserve"> but it does not report on other demographics. While listed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as underrepresented populations in the Title VI Program, the TPB does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not maintain data on CAC or AFA membership of people with disabilities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or limited English proficiency.</w:t>
      </w:r>
    </w:p>
    <w:p w14:paraId="78BB10D6" w14:textId="6357BD9A" w:rsidR="003D048A" w:rsidRPr="003D048A" w:rsidRDefault="003D048A" w:rsidP="00FB3BE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Focus group participants discussed the need for more proactive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accessible non-English accommodations.</w:t>
      </w:r>
    </w:p>
    <w:p w14:paraId="639EC13B" w14:textId="269EAAA7" w:rsidR="00CF4EFA" w:rsidRPr="003D048A" w:rsidRDefault="003D048A" w:rsidP="002C5F21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AFA meeting materials are often provided in alternative formats (plain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text Word documents) for those who require them. Meetings of the CAC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and of the TPB do not typically offer similar materials.</w:t>
      </w:r>
    </w:p>
    <w:p w14:paraId="71566531" w14:textId="6B974DB6" w:rsidR="00782598" w:rsidRDefault="00782598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8D3D39" w14:textId="77777777" w:rsidR="00CF4EFA" w:rsidRDefault="00CF4EFA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266B59" w14:textId="3524ED6E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3</w:t>
      </w:r>
      <w:r>
        <w:rPr>
          <w:rFonts w:ascii="Franklin Gothic Book" w:hAnsi="Franklin Gothic Book" w:cs="Tahoma"/>
          <w:sz w:val="24"/>
          <w:szCs w:val="24"/>
        </w:rPr>
        <w:t>:</w:t>
      </w:r>
      <w:r w:rsidR="00782598">
        <w:rPr>
          <w:rFonts w:ascii="Franklin Gothic Book" w:hAnsi="Franklin Gothic Book" w:cs="Tahoma"/>
          <w:sz w:val="24"/>
          <w:szCs w:val="24"/>
        </w:rPr>
        <w:t xml:space="preserve"> </w:t>
      </w:r>
      <w:r w:rsidR="003D048A">
        <w:rPr>
          <w:rFonts w:ascii="Franklin Gothic Book" w:hAnsi="Franklin Gothic Book" w:cs="Tahoma"/>
          <w:sz w:val="24"/>
          <w:szCs w:val="24"/>
        </w:rPr>
        <w:t>Recommendations</w:t>
      </w:r>
    </w:p>
    <w:p w14:paraId="44B1A22C" w14:textId="1DC5E6FD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116C42" w14:textId="6676D8FF" w:rsidR="003D048A" w:rsidRPr="003D048A" w:rsidRDefault="003D048A" w:rsidP="009B2328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 xml:space="preserve">As the TPB already does </w:t>
      </w:r>
      <w:proofErr w:type="gramStart"/>
      <w:r w:rsidRPr="003D048A">
        <w:rPr>
          <w:rFonts w:ascii="Franklin Gothic Book" w:hAnsi="Franklin Gothic Book" w:cs="Tahoma"/>
          <w:sz w:val="24"/>
          <w:szCs w:val="24"/>
        </w:rPr>
        <w:t>with regard to</w:t>
      </w:r>
      <w:proofErr w:type="gramEnd"/>
      <w:r w:rsidRPr="003D048A">
        <w:rPr>
          <w:rFonts w:ascii="Franklin Gothic Book" w:hAnsi="Franklin Gothic Book" w:cs="Tahoma"/>
          <w:sz w:val="24"/>
          <w:szCs w:val="24"/>
        </w:rPr>
        <w:t xml:space="preserve"> race and ethnicity, consider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tracking other demographic data (such as age, languages spoken, and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other elements that are mentioned in the Title VI Program) in the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advisory committees’ membership and ask applicants more information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to inform the selection process and evaluate the representation of each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body.</w:t>
      </w:r>
    </w:p>
    <w:p w14:paraId="1AE50A35" w14:textId="1C8BBEC2" w:rsidR="00CF4EFA" w:rsidRPr="003D048A" w:rsidRDefault="003D048A" w:rsidP="0013638B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Proactively provide accommodations like captioning, ASL or Spanish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interpretation, etc.</w:t>
      </w:r>
    </w:p>
    <w:p w14:paraId="0410878B" w14:textId="092CA2B6" w:rsidR="00195CBD" w:rsidRDefault="00195CBD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CF9C4A3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CC43D2" w14:textId="4179F873" w:rsidR="00CF4EFA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4</w:t>
      </w:r>
      <w:r>
        <w:rPr>
          <w:rFonts w:ascii="Franklin Gothic Book" w:hAnsi="Franklin Gothic Book" w:cs="Tahoma"/>
          <w:sz w:val="24"/>
          <w:szCs w:val="24"/>
        </w:rPr>
        <w:t>:</w:t>
      </w:r>
      <w:r w:rsidR="00544968" w:rsidRPr="00544968">
        <w:t xml:space="preserve"> </w:t>
      </w:r>
      <w:r w:rsidR="003D048A">
        <w:rPr>
          <w:rFonts w:ascii="Franklin Gothic Book" w:hAnsi="Franklin Gothic Book" w:cs="Tahoma"/>
          <w:sz w:val="24"/>
          <w:szCs w:val="24"/>
        </w:rPr>
        <w:t>Recommendations contd.</w:t>
      </w:r>
    </w:p>
    <w:p w14:paraId="557DAD01" w14:textId="5162EFFB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0933B7B" w14:textId="0BA1DA22" w:rsidR="003D048A" w:rsidRPr="003D048A" w:rsidRDefault="003D048A" w:rsidP="00107659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Identify high-profile documents and announcements (such as the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executive summary of the long-range transportation plan or Tweets that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announce public comment opportunities) that are candidates for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translation into Spanish and other frequently spoken languages across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the region.</w:t>
      </w:r>
    </w:p>
    <w:p w14:paraId="3342F1C6" w14:textId="0862234A" w:rsidR="007B1CB2" w:rsidRPr="003D048A" w:rsidRDefault="003D048A" w:rsidP="00195CBD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Continually review and identify documents (e.g., reports, publications,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memos) that could be summarized onto or converted to webpages on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the TPB website for easier public access and easier automatic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translation using the Google Translate widget.</w:t>
      </w:r>
    </w:p>
    <w:p w14:paraId="622CC6A6" w14:textId="77777777" w:rsidR="00B303F0" w:rsidRDefault="00B303F0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82B7B9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4CE772" w14:textId="1795958F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5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7B1CB2">
        <w:t xml:space="preserve"> </w:t>
      </w:r>
      <w:r w:rsidR="003D048A">
        <w:rPr>
          <w:rFonts w:ascii="Franklin Gothic Book" w:hAnsi="Franklin Gothic Book" w:cs="Tahoma"/>
          <w:sz w:val="24"/>
          <w:szCs w:val="24"/>
        </w:rPr>
        <w:t>Evaluation Factor: Plain Language</w:t>
      </w:r>
    </w:p>
    <w:p w14:paraId="538BAC50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F473CF3" w14:textId="2B1A52C4" w:rsidR="007B1CB2" w:rsidRPr="003D048A" w:rsidRDefault="003D048A" w:rsidP="003D04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Staff strive to use plain language and prepare their materials in a variety of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ways. This will make TPB work accessible and understandable to as many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people as possible and serve as a foundation for meaningful participation.</w:t>
      </w:r>
    </w:p>
    <w:p w14:paraId="40931DD0" w14:textId="66EB791F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927BD1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4EB585" w14:textId="432D8F78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7B1CB2">
        <w:t xml:space="preserve"> </w:t>
      </w:r>
      <w:r w:rsidR="003D048A">
        <w:rPr>
          <w:rFonts w:ascii="Franklin Gothic Book" w:hAnsi="Franklin Gothic Book" w:cs="Tahoma"/>
          <w:sz w:val="24"/>
          <w:szCs w:val="24"/>
        </w:rPr>
        <w:t>Observations</w:t>
      </w:r>
    </w:p>
    <w:p w14:paraId="36BE4A5A" w14:textId="330E5BE8" w:rsidR="003D048A" w:rsidRPr="003D048A" w:rsidRDefault="003D048A" w:rsidP="00C24F29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Tweets and talking points in the Visualize 2045 Ambassador Kit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contained acronyms and technical terms.</w:t>
      </w:r>
    </w:p>
    <w:p w14:paraId="5F40786A" w14:textId="3F83A5AD" w:rsidR="003D048A" w:rsidRPr="003D048A" w:rsidRDefault="003D048A" w:rsidP="008600F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Resources (i.e., Visualize 2045 website “Requirements” page) that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provided context for understanding of technical terms may not have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been apparent to visitors.</w:t>
      </w:r>
    </w:p>
    <w:p w14:paraId="2349A4C4" w14:textId="7CB97CB1" w:rsidR="003D048A" w:rsidRPr="003D048A" w:rsidRDefault="003D048A" w:rsidP="00276AC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“Getting Involved and Public Comment” page on the TPB website scored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 grade reading level of 10.7* and reading ease score of 44.**</w:t>
      </w:r>
    </w:p>
    <w:p w14:paraId="5B42A5A1" w14:textId="38015706" w:rsidR="003D048A" w:rsidRPr="003D048A" w:rsidRDefault="003D048A" w:rsidP="003D048A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goal for grade reading level is 7th to 8th grade.</w:t>
      </w:r>
    </w:p>
    <w:p w14:paraId="7C183CFC" w14:textId="56A139D6" w:rsidR="00544968" w:rsidRPr="003D048A" w:rsidRDefault="003D048A" w:rsidP="003D048A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goal for reading ease is 60-70 out of 100.</w:t>
      </w:r>
    </w:p>
    <w:p w14:paraId="00646D15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4F9F07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A56EDF" w14:textId="1F3157D5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7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7B1CB2">
        <w:t xml:space="preserve"> </w:t>
      </w:r>
      <w:r w:rsidR="003D048A">
        <w:rPr>
          <w:rFonts w:ascii="Franklin Gothic Book" w:hAnsi="Franklin Gothic Book" w:cs="Tahoma"/>
          <w:sz w:val="24"/>
          <w:szCs w:val="24"/>
        </w:rPr>
        <w:t>Recommendations</w:t>
      </w:r>
    </w:p>
    <w:p w14:paraId="4250707D" w14:textId="22F8451A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C51145" w14:textId="684EDFC2" w:rsidR="003D048A" w:rsidRPr="003D048A" w:rsidRDefault="003D048A" w:rsidP="002870A0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TPB and Visualize 2045 websites, particularly web pages about</w:t>
      </w:r>
      <w:r w:rsidRPr="003D048A"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public participation and meetings, should be reviewed for plain language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and updated accordingly.</w:t>
      </w:r>
    </w:p>
    <w:p w14:paraId="580695D8" w14:textId="66A181C7" w:rsidR="003D048A" w:rsidRPr="003D048A" w:rsidRDefault="003D048A" w:rsidP="00A7399C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TPB’s social media posts should be written using plain language and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avoiding acronyms without explanation.</w:t>
      </w:r>
    </w:p>
    <w:p w14:paraId="5504DD3E" w14:textId="514F27BB" w:rsidR="003D048A" w:rsidRPr="003D048A" w:rsidRDefault="003D048A" w:rsidP="00716927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The Participation Plan should be updated to include resources and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examples of how to use plain language within the context of TPB’s work.</w:t>
      </w:r>
    </w:p>
    <w:p w14:paraId="2BA9125D" w14:textId="19D7D62E" w:rsidR="001D349F" w:rsidRPr="003D048A" w:rsidRDefault="003D048A" w:rsidP="0017515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D048A">
        <w:rPr>
          <w:rFonts w:ascii="Franklin Gothic Book" w:hAnsi="Franklin Gothic Book" w:cs="Tahoma"/>
          <w:sz w:val="24"/>
          <w:szCs w:val="24"/>
        </w:rPr>
        <w:t>Make resources explaining technical terms more easily discoverable on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3D048A">
        <w:rPr>
          <w:rFonts w:ascii="Franklin Gothic Book" w:hAnsi="Franklin Gothic Book" w:cs="Tahoma"/>
          <w:sz w:val="24"/>
          <w:szCs w:val="24"/>
        </w:rPr>
        <w:t>the websites (e.g., update the name of the “Requirements” web page).</w:t>
      </w:r>
    </w:p>
    <w:p w14:paraId="320F20E2" w14:textId="096D595E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631D50" w14:textId="1461FF40" w:rsidR="00544968" w:rsidRDefault="00544968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89EC9B" w14:textId="3F49C0A0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3D048A">
        <w:rPr>
          <w:rFonts w:ascii="Franklin Gothic Book" w:hAnsi="Franklin Gothic Book" w:cs="Tahoma"/>
          <w:sz w:val="24"/>
          <w:szCs w:val="24"/>
        </w:rPr>
        <w:t>8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D048A">
        <w:rPr>
          <w:rFonts w:ascii="Franklin Gothic Book" w:hAnsi="Franklin Gothic Book" w:cs="Tahoma"/>
          <w:sz w:val="24"/>
          <w:szCs w:val="24"/>
        </w:rPr>
        <w:t>TPB Staff Updates</w:t>
      </w:r>
    </w:p>
    <w:p w14:paraId="0B6F8714" w14:textId="509DD2A5" w:rsidR="003D048A" w:rsidRDefault="003D048A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1A6EF9D" w14:textId="0C43348D" w:rsidR="003D048A" w:rsidRDefault="003D048A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43C8E3" w14:textId="7B32F983" w:rsidR="003D048A" w:rsidRDefault="003D048A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19: Q&amp;A and Discussions</w:t>
      </w:r>
    </w:p>
    <w:p w14:paraId="097480FC" w14:textId="6D9B0EB3" w:rsidR="00544968" w:rsidRPr="000C09E1" w:rsidRDefault="00544968" w:rsidP="00DE25AB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sectPr w:rsidR="00544968" w:rsidRPr="000C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B2"/>
    <w:multiLevelType w:val="hybridMultilevel"/>
    <w:tmpl w:val="D11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A70"/>
    <w:multiLevelType w:val="hybridMultilevel"/>
    <w:tmpl w:val="545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74"/>
    <w:multiLevelType w:val="hybridMultilevel"/>
    <w:tmpl w:val="E6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546"/>
    <w:multiLevelType w:val="hybridMultilevel"/>
    <w:tmpl w:val="1B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B89"/>
    <w:multiLevelType w:val="hybridMultilevel"/>
    <w:tmpl w:val="144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7444"/>
    <w:multiLevelType w:val="hybridMultilevel"/>
    <w:tmpl w:val="A39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226E"/>
    <w:multiLevelType w:val="hybridMultilevel"/>
    <w:tmpl w:val="158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D14"/>
    <w:multiLevelType w:val="hybridMultilevel"/>
    <w:tmpl w:val="30B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0847"/>
    <w:multiLevelType w:val="hybridMultilevel"/>
    <w:tmpl w:val="973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0747"/>
    <w:multiLevelType w:val="hybridMultilevel"/>
    <w:tmpl w:val="ADD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1B0D"/>
    <w:multiLevelType w:val="hybridMultilevel"/>
    <w:tmpl w:val="E910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0328"/>
    <w:multiLevelType w:val="hybridMultilevel"/>
    <w:tmpl w:val="6AC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1A60"/>
    <w:multiLevelType w:val="hybridMultilevel"/>
    <w:tmpl w:val="F67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2C84"/>
    <w:multiLevelType w:val="hybridMultilevel"/>
    <w:tmpl w:val="015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87975"/>
    <w:multiLevelType w:val="hybridMultilevel"/>
    <w:tmpl w:val="C30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5C7"/>
    <w:multiLevelType w:val="hybridMultilevel"/>
    <w:tmpl w:val="B2E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11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A95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C09E1"/>
    <w:rsid w:val="000C771C"/>
    <w:rsid w:val="000E7F04"/>
    <w:rsid w:val="000F16D8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5CBD"/>
    <w:rsid w:val="00197098"/>
    <w:rsid w:val="001C22BA"/>
    <w:rsid w:val="001D349F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5EA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51A0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1132"/>
    <w:rsid w:val="00352C27"/>
    <w:rsid w:val="00356C0D"/>
    <w:rsid w:val="0036398F"/>
    <w:rsid w:val="003717E3"/>
    <w:rsid w:val="00377D26"/>
    <w:rsid w:val="003829B3"/>
    <w:rsid w:val="003834FE"/>
    <w:rsid w:val="003922D3"/>
    <w:rsid w:val="003A206A"/>
    <w:rsid w:val="003C4EAE"/>
    <w:rsid w:val="003C6C4B"/>
    <w:rsid w:val="003D048A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57E9D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44968"/>
    <w:rsid w:val="00552C04"/>
    <w:rsid w:val="00553EAF"/>
    <w:rsid w:val="005561F6"/>
    <w:rsid w:val="00556481"/>
    <w:rsid w:val="005600C3"/>
    <w:rsid w:val="00561F35"/>
    <w:rsid w:val="005714FD"/>
    <w:rsid w:val="00572D3B"/>
    <w:rsid w:val="00580F7D"/>
    <w:rsid w:val="00590664"/>
    <w:rsid w:val="00597304"/>
    <w:rsid w:val="005E0856"/>
    <w:rsid w:val="005E18D5"/>
    <w:rsid w:val="005E1993"/>
    <w:rsid w:val="006013CE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53DD"/>
    <w:rsid w:val="006C7450"/>
    <w:rsid w:val="006F7550"/>
    <w:rsid w:val="00702B8D"/>
    <w:rsid w:val="00705556"/>
    <w:rsid w:val="0072128C"/>
    <w:rsid w:val="007317BE"/>
    <w:rsid w:val="0074520E"/>
    <w:rsid w:val="00753BEF"/>
    <w:rsid w:val="00763177"/>
    <w:rsid w:val="00774E88"/>
    <w:rsid w:val="00782598"/>
    <w:rsid w:val="00786CE0"/>
    <w:rsid w:val="007A41E3"/>
    <w:rsid w:val="007A4AE7"/>
    <w:rsid w:val="007A57B7"/>
    <w:rsid w:val="007B0967"/>
    <w:rsid w:val="007B1CB2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95D81"/>
    <w:rsid w:val="008A1F65"/>
    <w:rsid w:val="008A6179"/>
    <w:rsid w:val="008B6DC9"/>
    <w:rsid w:val="008C057C"/>
    <w:rsid w:val="008C2947"/>
    <w:rsid w:val="008D2C59"/>
    <w:rsid w:val="008D6E9C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97D79"/>
    <w:rsid w:val="009A0271"/>
    <w:rsid w:val="009B6E6B"/>
    <w:rsid w:val="009C2A22"/>
    <w:rsid w:val="009C7A98"/>
    <w:rsid w:val="009D14D0"/>
    <w:rsid w:val="009E3DC0"/>
    <w:rsid w:val="009E4921"/>
    <w:rsid w:val="009E65D0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E0B13"/>
    <w:rsid w:val="00AF2BE1"/>
    <w:rsid w:val="00AF331F"/>
    <w:rsid w:val="00AF3632"/>
    <w:rsid w:val="00B10645"/>
    <w:rsid w:val="00B16D5D"/>
    <w:rsid w:val="00B206F4"/>
    <w:rsid w:val="00B20C6D"/>
    <w:rsid w:val="00B303F0"/>
    <w:rsid w:val="00B32F12"/>
    <w:rsid w:val="00B420D5"/>
    <w:rsid w:val="00B557AA"/>
    <w:rsid w:val="00B63019"/>
    <w:rsid w:val="00B7408E"/>
    <w:rsid w:val="00B80608"/>
    <w:rsid w:val="00B8259F"/>
    <w:rsid w:val="00B91216"/>
    <w:rsid w:val="00BA0D16"/>
    <w:rsid w:val="00BD22BF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0A1C"/>
    <w:rsid w:val="00C55334"/>
    <w:rsid w:val="00C63987"/>
    <w:rsid w:val="00C66FD8"/>
    <w:rsid w:val="00C70FDE"/>
    <w:rsid w:val="00C71D0E"/>
    <w:rsid w:val="00C728D2"/>
    <w:rsid w:val="00C86051"/>
    <w:rsid w:val="00C92B7E"/>
    <w:rsid w:val="00C97CE1"/>
    <w:rsid w:val="00CA22D1"/>
    <w:rsid w:val="00CB65CD"/>
    <w:rsid w:val="00CD6927"/>
    <w:rsid w:val="00CE1445"/>
    <w:rsid w:val="00CE4607"/>
    <w:rsid w:val="00CF4EFA"/>
    <w:rsid w:val="00D11820"/>
    <w:rsid w:val="00D339C9"/>
    <w:rsid w:val="00D33A36"/>
    <w:rsid w:val="00D4585C"/>
    <w:rsid w:val="00D5101B"/>
    <w:rsid w:val="00D67390"/>
    <w:rsid w:val="00D678AB"/>
    <w:rsid w:val="00D70F94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25AB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5309D"/>
    <w:rsid w:val="00E67EC7"/>
    <w:rsid w:val="00E83CF9"/>
    <w:rsid w:val="00E9190A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EF4312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2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1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2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70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7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7B2-403C-4376-B0DC-599303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3</cp:revision>
  <cp:lastPrinted>2020-05-28T14:43:00Z</cp:lastPrinted>
  <dcterms:created xsi:type="dcterms:W3CDTF">2022-12-09T18:09:00Z</dcterms:created>
  <dcterms:modified xsi:type="dcterms:W3CDTF">2022-12-09T19:04:00Z</dcterms:modified>
</cp:coreProperties>
</file>