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D5" w:rsidRPr="004F42FA" w:rsidRDefault="009E41D5" w:rsidP="009E41D5">
      <w:pPr>
        <w:pStyle w:val="Heading1"/>
      </w:pPr>
      <w:bookmarkStart w:id="0" w:name="_Ref97537164"/>
      <w:bookmarkStart w:id="1" w:name="_Toc98566393"/>
      <w:bookmarkStart w:id="2" w:name="_Toc98664504"/>
      <w:bookmarkStart w:id="3" w:name="_Toc102296930"/>
      <w:bookmarkStart w:id="4" w:name="_Toc311793363"/>
      <w:r>
        <w:t>C</w:t>
      </w:r>
      <w:r w:rsidRPr="004F42FA">
        <w:t>ontingency Measures</w:t>
      </w:r>
      <w:bookmarkEnd w:id="0"/>
      <w:bookmarkEnd w:id="1"/>
      <w:bookmarkEnd w:id="2"/>
      <w:bookmarkEnd w:id="3"/>
      <w:bookmarkEnd w:id="4"/>
    </w:p>
    <w:p w:rsidR="009E41D5" w:rsidRPr="008A5BA7" w:rsidRDefault="009E41D5" w:rsidP="009E41D5">
      <w:pPr>
        <w:pStyle w:val="Heading2"/>
        <w:ind w:left="720" w:hanging="720"/>
      </w:pPr>
      <w:bookmarkStart w:id="5" w:name="_Toc102296931"/>
      <w:bookmarkStart w:id="6" w:name="_Toc311793364"/>
      <w:r>
        <w:t>US</w:t>
      </w:r>
      <w:r w:rsidRPr="008A5BA7">
        <w:t>EPA Requirements</w:t>
      </w:r>
      <w:bookmarkEnd w:id="5"/>
      <w:bookmarkEnd w:id="6"/>
    </w:p>
    <w:p w:rsidR="009E41D5" w:rsidRPr="00576EF4" w:rsidRDefault="009E41D5" w:rsidP="009E41D5">
      <w:pPr>
        <w:suppressAutoHyphens/>
        <w:ind w:firstLine="576"/>
      </w:pPr>
      <w:r w:rsidRPr="008A5BA7">
        <w:t>The maintenance plan must include contingency measures, as necessary, to promptly correct</w:t>
      </w:r>
      <w:r>
        <w:t xml:space="preserve"> two future situations.  The first situation is an inventory estimate that indicates the Washington DC-MD-VA area had actual emissions of either </w:t>
      </w:r>
      <w:r w:rsidRPr="00B105D5">
        <w:t>SO</w:t>
      </w:r>
      <w:r w:rsidRPr="00B105D5">
        <w:rPr>
          <w:vertAlign w:val="subscript"/>
        </w:rPr>
        <w:t>2</w:t>
      </w:r>
      <w:r>
        <w:t xml:space="preserve">, </w:t>
      </w:r>
      <w:r w:rsidRPr="00155CF8">
        <w:t>NO</w:t>
      </w:r>
      <w:r w:rsidRPr="00155CF8">
        <w:rPr>
          <w:vertAlign w:val="subscript"/>
        </w:rPr>
        <w:t>X</w:t>
      </w:r>
      <w:r>
        <w:t xml:space="preserve">, or </w:t>
      </w:r>
      <w:r w:rsidRPr="006B43EB">
        <w:rPr>
          <w:sz w:val="23"/>
          <w:szCs w:val="23"/>
        </w:rPr>
        <w:t>PM</w:t>
      </w:r>
      <w:r w:rsidRPr="006B43EB">
        <w:rPr>
          <w:sz w:val="23"/>
          <w:szCs w:val="23"/>
          <w:vertAlign w:val="subscript"/>
        </w:rPr>
        <w:t>2.5</w:t>
      </w:r>
      <w:r>
        <w:t xml:space="preserve"> in any future year that were greater than that of the attainment year </w:t>
      </w:r>
      <w:r w:rsidRPr="00A82C2C">
        <w:rPr>
          <w:szCs w:val="24"/>
        </w:rPr>
        <w:t xml:space="preserve">inventories listed in </w:t>
      </w:r>
      <w:fldSimple w:instr=" REF _Ref311112993 \h  \* MERGEFORMAT ">
        <w:r w:rsidRPr="00F414A2">
          <w:rPr>
            <w:szCs w:val="24"/>
          </w:rPr>
          <w:t xml:space="preserve">Table </w:t>
        </w:r>
        <w:r w:rsidRPr="00F414A2">
          <w:rPr>
            <w:noProof/>
            <w:szCs w:val="24"/>
          </w:rPr>
          <w:t>4</w:t>
        </w:r>
        <w:r w:rsidRPr="00F414A2">
          <w:rPr>
            <w:noProof/>
            <w:szCs w:val="24"/>
          </w:rPr>
          <w:noBreakHyphen/>
          <w:t>1</w:t>
        </w:r>
      </w:fldSimple>
      <w:r w:rsidRPr="00A82C2C">
        <w:rPr>
          <w:szCs w:val="24"/>
        </w:rPr>
        <w:t xml:space="preserve">.   </w:t>
      </w:r>
      <w:r>
        <w:rPr>
          <w:szCs w:val="24"/>
        </w:rPr>
        <w:t xml:space="preserve">The second situation is </w:t>
      </w:r>
      <w:r w:rsidRPr="00A82C2C">
        <w:rPr>
          <w:szCs w:val="24"/>
        </w:rPr>
        <w:t xml:space="preserve">any NAAQS violation that occurs after </w:t>
      </w:r>
      <w:proofErr w:type="spellStart"/>
      <w:r w:rsidRPr="00A82C2C">
        <w:rPr>
          <w:szCs w:val="24"/>
        </w:rPr>
        <w:t>redesignation</w:t>
      </w:r>
      <w:proofErr w:type="spellEnd"/>
      <w:r w:rsidRPr="00A82C2C">
        <w:rPr>
          <w:szCs w:val="24"/>
        </w:rPr>
        <w:t xml:space="preserve"> of an area.  </w:t>
      </w:r>
      <w:r>
        <w:rPr>
          <w:szCs w:val="24"/>
        </w:rPr>
        <w:t>The plan</w:t>
      </w:r>
      <w:r w:rsidRPr="00A82C2C">
        <w:rPr>
          <w:szCs w:val="24"/>
        </w:rPr>
        <w:t xml:space="preserve"> should include meas</w:t>
      </w:r>
      <w:r w:rsidRPr="00576EF4">
        <w:t>ures to be adopted, a schedule and procedures for adoption and implementation, and a specific time limit for action.  Specific triggers that would put the plan into motion must be identified.  This plan is considered to be an enforceable part of the SIP and should ensure that the contingency measures are adopted explicitly once they are triggered.</w:t>
      </w:r>
    </w:p>
    <w:p w:rsidR="009E41D5" w:rsidRDefault="009E41D5" w:rsidP="009E41D5">
      <w:pPr>
        <w:pStyle w:val="Heading2"/>
      </w:pPr>
      <w:bookmarkStart w:id="7" w:name="_Ref308604759"/>
      <w:bookmarkStart w:id="8" w:name="_Toc311793365"/>
      <w:r>
        <w:t>Washington DC-MD-VA Approach</w:t>
      </w:r>
      <w:bookmarkEnd w:id="7"/>
      <w:bookmarkEnd w:id="8"/>
    </w:p>
    <w:p w:rsidR="009E41D5" w:rsidRPr="004661EE" w:rsidRDefault="009E41D5" w:rsidP="009E41D5">
      <w:pPr>
        <w:ind w:firstLine="576"/>
        <w:rPr>
          <w:szCs w:val="24"/>
        </w:rPr>
      </w:pPr>
      <w:r w:rsidRPr="004661EE">
        <w:rPr>
          <w:szCs w:val="24"/>
        </w:rPr>
        <w:t>The ability of the Washington DC-MD-VA nonattainment area to stay in compliance with the 1997 PM</w:t>
      </w:r>
      <w:r w:rsidRPr="004661EE">
        <w:rPr>
          <w:szCs w:val="24"/>
          <w:vertAlign w:val="subscript"/>
        </w:rPr>
        <w:t>2.5</w:t>
      </w:r>
      <w:r w:rsidRPr="004661EE">
        <w:rPr>
          <w:szCs w:val="24"/>
        </w:rPr>
        <w:t xml:space="preserve"> NAAQS depends at least partially on the level of NO</w:t>
      </w:r>
      <w:r w:rsidRPr="004661EE">
        <w:rPr>
          <w:szCs w:val="24"/>
          <w:vertAlign w:val="subscript"/>
        </w:rPr>
        <w:t>X</w:t>
      </w:r>
      <w:r w:rsidRPr="004661EE">
        <w:rPr>
          <w:szCs w:val="24"/>
        </w:rPr>
        <w:t>, SO</w:t>
      </w:r>
      <w:r w:rsidRPr="004661EE">
        <w:rPr>
          <w:szCs w:val="24"/>
          <w:vertAlign w:val="subscript"/>
        </w:rPr>
        <w:t>2</w:t>
      </w:r>
      <w:r w:rsidRPr="004661EE">
        <w:rPr>
          <w:szCs w:val="24"/>
        </w:rPr>
        <w:t>, and primary PM</w:t>
      </w:r>
      <w:r w:rsidRPr="004661EE">
        <w:rPr>
          <w:szCs w:val="24"/>
          <w:vertAlign w:val="subscript"/>
        </w:rPr>
        <w:t>2.5</w:t>
      </w:r>
      <w:r w:rsidRPr="004661EE">
        <w:rPr>
          <w:szCs w:val="24"/>
        </w:rPr>
        <w:t xml:space="preserve"> emissions in the region.  Emissions are projected to stay well below the 2007 attainment year levels, through 2025.  However, if emissions increase, the area may experience a PM</w:t>
      </w:r>
      <w:r w:rsidRPr="004661EE">
        <w:rPr>
          <w:szCs w:val="24"/>
          <w:vertAlign w:val="subscript"/>
        </w:rPr>
        <w:t>2.5</w:t>
      </w:r>
      <w:r w:rsidRPr="004661EE">
        <w:rPr>
          <w:szCs w:val="24"/>
        </w:rPr>
        <w:t xml:space="preserve"> violation. To address this unlikely situation, the District of Columbia, the State of Maryland, and the Commonwealth of Virginia have developed a contingency plan.  </w:t>
      </w:r>
      <w:r>
        <w:rPr>
          <w:szCs w:val="24"/>
        </w:rPr>
        <w:t>T</w:t>
      </w:r>
      <w:r w:rsidRPr="004661EE">
        <w:rPr>
          <w:szCs w:val="24"/>
        </w:rPr>
        <w:t xml:space="preserve">he situations described below would trigger the implementation of the contingency measures as described in Section </w:t>
      </w:r>
      <w:fldSimple w:instr=" REF _Ref311114644 \r \h  \* MERGEFORMAT ">
        <w:r w:rsidRPr="00F414A2">
          <w:rPr>
            <w:szCs w:val="24"/>
          </w:rPr>
          <w:t>8.2.1</w:t>
        </w:r>
      </w:fldSimple>
      <w:r w:rsidRPr="004661EE">
        <w:rPr>
          <w:szCs w:val="24"/>
        </w:rPr>
        <w:t xml:space="preserve">, Section </w:t>
      </w:r>
      <w:fldSimple w:instr=" REF _Ref308604691 \w \h  \* MERGEFORMAT ">
        <w:r w:rsidRPr="00F414A2">
          <w:rPr>
            <w:szCs w:val="24"/>
          </w:rPr>
          <w:t>8.2.2</w:t>
        </w:r>
      </w:fldSimple>
      <w:r w:rsidRPr="004661EE">
        <w:rPr>
          <w:szCs w:val="24"/>
        </w:rPr>
        <w:t xml:space="preserve">, </w:t>
      </w:r>
      <w:r>
        <w:rPr>
          <w:szCs w:val="24"/>
        </w:rPr>
        <w:t>or</w:t>
      </w:r>
      <w:r w:rsidRPr="004661EE">
        <w:rPr>
          <w:szCs w:val="24"/>
        </w:rPr>
        <w:t xml:space="preserve"> Section </w:t>
      </w:r>
      <w:fldSimple w:instr=" REF _Ref309027453 \r \h  \* MERGEFORMAT ">
        <w:r w:rsidRPr="00F414A2">
          <w:rPr>
            <w:szCs w:val="24"/>
          </w:rPr>
          <w:t>8.2.3</w:t>
        </w:r>
      </w:fldSimple>
      <w:r w:rsidRPr="004661EE">
        <w:rPr>
          <w:szCs w:val="24"/>
        </w:rPr>
        <w:t>.</w:t>
      </w:r>
    </w:p>
    <w:p w:rsidR="009E41D5" w:rsidRPr="004661EE" w:rsidRDefault="009E41D5" w:rsidP="009E41D5">
      <w:pPr>
        <w:ind w:firstLine="576"/>
        <w:rPr>
          <w:szCs w:val="24"/>
        </w:rPr>
      </w:pPr>
    </w:p>
    <w:p w:rsidR="009E41D5" w:rsidRDefault="009E41D5" w:rsidP="009E41D5">
      <w:pPr>
        <w:pStyle w:val="ListParagraph"/>
        <w:numPr>
          <w:ilvl w:val="0"/>
          <w:numId w:val="2"/>
        </w:numPr>
        <w:rPr>
          <w:szCs w:val="24"/>
        </w:rPr>
      </w:pPr>
      <w:r w:rsidRPr="004661EE">
        <w:rPr>
          <w:szCs w:val="24"/>
        </w:rPr>
        <w:t>Annual actual emissions of SO</w:t>
      </w:r>
      <w:r w:rsidRPr="004661EE">
        <w:rPr>
          <w:szCs w:val="24"/>
          <w:vertAlign w:val="subscript"/>
        </w:rPr>
        <w:t>2</w:t>
      </w:r>
      <w:r w:rsidRPr="004661EE">
        <w:rPr>
          <w:szCs w:val="24"/>
        </w:rPr>
        <w:t>, NO</w:t>
      </w:r>
      <w:r w:rsidRPr="004661EE">
        <w:rPr>
          <w:szCs w:val="24"/>
          <w:vertAlign w:val="subscript"/>
        </w:rPr>
        <w:t>X</w:t>
      </w:r>
      <w:r w:rsidRPr="004661EE">
        <w:rPr>
          <w:szCs w:val="24"/>
        </w:rPr>
        <w:t>, or PM</w:t>
      </w:r>
      <w:r w:rsidRPr="004661EE">
        <w:rPr>
          <w:szCs w:val="24"/>
          <w:vertAlign w:val="subscript"/>
        </w:rPr>
        <w:t>2.5</w:t>
      </w:r>
      <w:r w:rsidRPr="004661EE">
        <w:rPr>
          <w:szCs w:val="24"/>
        </w:rPr>
        <w:t xml:space="preserve"> exceeding the attainment year inventories in </w:t>
      </w:r>
      <w:fldSimple w:instr=" REF _Ref311112993 \h  \* MERGEFORMAT ">
        <w:r w:rsidRPr="00F414A2">
          <w:rPr>
            <w:szCs w:val="24"/>
          </w:rPr>
          <w:t xml:space="preserve">Table </w:t>
        </w:r>
        <w:r w:rsidRPr="00F414A2">
          <w:rPr>
            <w:noProof/>
            <w:szCs w:val="24"/>
          </w:rPr>
          <w:t>4</w:t>
        </w:r>
        <w:r w:rsidRPr="00F414A2">
          <w:rPr>
            <w:noProof/>
            <w:szCs w:val="24"/>
          </w:rPr>
          <w:noBreakHyphen/>
          <w:t>1</w:t>
        </w:r>
      </w:fldSimple>
      <w:r w:rsidRPr="004661EE">
        <w:rPr>
          <w:szCs w:val="24"/>
        </w:rPr>
        <w:t>.</w:t>
      </w:r>
    </w:p>
    <w:p w:rsidR="009E41D5" w:rsidRPr="004661EE" w:rsidRDefault="009E41D5" w:rsidP="009E41D5">
      <w:pPr>
        <w:pStyle w:val="ListParagraph"/>
        <w:rPr>
          <w:szCs w:val="24"/>
        </w:rPr>
      </w:pPr>
    </w:p>
    <w:p w:rsidR="009E41D5" w:rsidRDefault="009E41D5" w:rsidP="009E41D5">
      <w:pPr>
        <w:pStyle w:val="ListParagraph"/>
        <w:numPr>
          <w:ilvl w:val="0"/>
          <w:numId w:val="2"/>
        </w:numPr>
        <w:rPr>
          <w:szCs w:val="24"/>
        </w:rPr>
      </w:pPr>
      <w:r w:rsidRPr="004661EE">
        <w:rPr>
          <w:szCs w:val="24"/>
        </w:rPr>
        <w:t xml:space="preserve">Any annual </w:t>
      </w:r>
      <w:proofErr w:type="spellStart"/>
      <w:r w:rsidRPr="004661EE">
        <w:rPr>
          <w:szCs w:val="24"/>
        </w:rPr>
        <w:t>exceedance</w:t>
      </w:r>
      <w:proofErr w:type="spellEnd"/>
      <w:r w:rsidRPr="004661EE">
        <w:rPr>
          <w:szCs w:val="24"/>
        </w:rPr>
        <w:t xml:space="preserve"> (annual average for one year at any federal reference method monitor in the Washington DC-MD-VA nonattainment area) of 15.0 </w:t>
      </w:r>
      <w:proofErr w:type="spellStart"/>
      <w:r w:rsidRPr="004661EE">
        <w:rPr>
          <w:szCs w:val="24"/>
        </w:rPr>
        <w:t>μg</w:t>
      </w:r>
      <w:proofErr w:type="spellEnd"/>
      <w:r w:rsidRPr="004661EE">
        <w:rPr>
          <w:szCs w:val="24"/>
        </w:rPr>
        <w:t>/m</w:t>
      </w:r>
      <w:r w:rsidRPr="004661EE">
        <w:rPr>
          <w:szCs w:val="24"/>
          <w:vertAlign w:val="superscript"/>
        </w:rPr>
        <w:t>3</w:t>
      </w:r>
      <w:r w:rsidRPr="004661EE">
        <w:rPr>
          <w:szCs w:val="24"/>
        </w:rPr>
        <w:t xml:space="preserve"> or greater.</w:t>
      </w:r>
    </w:p>
    <w:p w:rsidR="009E41D5" w:rsidRPr="004F53B5" w:rsidRDefault="009E41D5" w:rsidP="009E41D5">
      <w:pPr>
        <w:rPr>
          <w:szCs w:val="24"/>
        </w:rPr>
      </w:pPr>
    </w:p>
    <w:p w:rsidR="009E41D5" w:rsidRPr="004661EE" w:rsidRDefault="009E41D5" w:rsidP="009E41D5">
      <w:pPr>
        <w:pStyle w:val="ListParagraph"/>
        <w:numPr>
          <w:ilvl w:val="0"/>
          <w:numId w:val="2"/>
        </w:numPr>
        <w:rPr>
          <w:szCs w:val="24"/>
        </w:rPr>
      </w:pPr>
      <w:r w:rsidRPr="004661EE">
        <w:rPr>
          <w:szCs w:val="24"/>
        </w:rPr>
        <w:t xml:space="preserve">Any violation (three year average of the annual average at any federal reference method monitor in the Washington DC-MD-VA nonattainment area) of 15.0 </w:t>
      </w:r>
      <w:proofErr w:type="spellStart"/>
      <w:r w:rsidRPr="004661EE">
        <w:rPr>
          <w:szCs w:val="24"/>
        </w:rPr>
        <w:t>μg</w:t>
      </w:r>
      <w:proofErr w:type="spellEnd"/>
      <w:r w:rsidRPr="004661EE">
        <w:rPr>
          <w:szCs w:val="24"/>
        </w:rPr>
        <w:t>/m</w:t>
      </w:r>
      <w:r w:rsidRPr="004661EE">
        <w:rPr>
          <w:szCs w:val="24"/>
          <w:vertAlign w:val="superscript"/>
        </w:rPr>
        <w:t>3</w:t>
      </w:r>
      <w:r w:rsidRPr="004661EE">
        <w:rPr>
          <w:szCs w:val="24"/>
        </w:rPr>
        <w:t xml:space="preserve"> or greater.</w:t>
      </w:r>
    </w:p>
    <w:p w:rsidR="009E41D5" w:rsidRPr="004661EE" w:rsidRDefault="009E41D5" w:rsidP="009E41D5">
      <w:pPr>
        <w:rPr>
          <w:szCs w:val="24"/>
        </w:rPr>
      </w:pPr>
    </w:p>
    <w:p w:rsidR="009E41D5" w:rsidRPr="004661EE" w:rsidRDefault="009E41D5" w:rsidP="009E41D5">
      <w:pPr>
        <w:pStyle w:val="Heading3"/>
        <w:rPr>
          <w:szCs w:val="24"/>
        </w:rPr>
      </w:pPr>
      <w:bookmarkStart w:id="9" w:name="_Ref311114644"/>
      <w:bookmarkStart w:id="10" w:name="_Toc311793366"/>
      <w:proofErr w:type="spellStart"/>
      <w:r w:rsidRPr="004661EE">
        <w:rPr>
          <w:szCs w:val="24"/>
        </w:rPr>
        <w:t>Exceedance</w:t>
      </w:r>
      <w:proofErr w:type="spellEnd"/>
      <w:r w:rsidRPr="004661EE">
        <w:rPr>
          <w:szCs w:val="24"/>
        </w:rPr>
        <w:t xml:space="preserve"> of the Attainment Year Emissions Inventory</w:t>
      </w:r>
      <w:bookmarkEnd w:id="9"/>
      <w:bookmarkEnd w:id="10"/>
    </w:p>
    <w:p w:rsidR="009E41D5" w:rsidRPr="00374A1F" w:rsidRDefault="009E41D5" w:rsidP="009E41D5">
      <w:pPr>
        <w:ind w:firstLine="720"/>
        <w:rPr>
          <w:szCs w:val="24"/>
          <w:u w:val="single"/>
        </w:rPr>
      </w:pPr>
      <w:r w:rsidRPr="00374A1F">
        <w:rPr>
          <w:szCs w:val="24"/>
          <w:u w:val="single"/>
        </w:rPr>
        <w:t>Should any future year emissions inventory data indicate that the Washington DC-MD-VA area’s total emissions of SO</w:t>
      </w:r>
      <w:r w:rsidRPr="00374A1F">
        <w:rPr>
          <w:szCs w:val="24"/>
          <w:u w:val="single"/>
          <w:vertAlign w:val="subscript"/>
        </w:rPr>
        <w:t>2</w:t>
      </w:r>
      <w:r w:rsidRPr="00374A1F">
        <w:rPr>
          <w:szCs w:val="24"/>
          <w:u w:val="single"/>
        </w:rPr>
        <w:t>, NO</w:t>
      </w:r>
      <w:r w:rsidRPr="00374A1F">
        <w:rPr>
          <w:szCs w:val="24"/>
          <w:u w:val="single"/>
          <w:vertAlign w:val="subscript"/>
        </w:rPr>
        <w:t>X</w:t>
      </w:r>
      <w:r w:rsidRPr="00374A1F">
        <w:rPr>
          <w:szCs w:val="24"/>
          <w:u w:val="single"/>
        </w:rPr>
        <w:t>, or PM</w:t>
      </w:r>
      <w:r w:rsidRPr="00374A1F">
        <w:rPr>
          <w:szCs w:val="24"/>
          <w:u w:val="single"/>
          <w:vertAlign w:val="subscript"/>
        </w:rPr>
        <w:t>2.5</w:t>
      </w:r>
      <w:r w:rsidRPr="00374A1F">
        <w:rPr>
          <w:szCs w:val="24"/>
          <w:u w:val="single"/>
        </w:rPr>
        <w:t xml:space="preserve"> exceeded the levels in </w:t>
      </w:r>
      <w:fldSimple w:instr=" REF _Ref311112993 \h  \* MERGEFORMAT ">
        <w:r w:rsidRPr="00374A1F">
          <w:rPr>
            <w:szCs w:val="24"/>
            <w:u w:val="single"/>
          </w:rPr>
          <w:t xml:space="preserve">Table </w:t>
        </w:r>
        <w:r w:rsidRPr="00374A1F">
          <w:rPr>
            <w:noProof/>
            <w:szCs w:val="24"/>
            <w:u w:val="single"/>
          </w:rPr>
          <w:t>4</w:t>
        </w:r>
        <w:r w:rsidRPr="00374A1F">
          <w:rPr>
            <w:noProof/>
            <w:szCs w:val="24"/>
            <w:u w:val="single"/>
          </w:rPr>
          <w:noBreakHyphen/>
          <w:t>1</w:t>
        </w:r>
      </w:fldSimple>
      <w:r w:rsidRPr="00374A1F">
        <w:rPr>
          <w:szCs w:val="24"/>
          <w:u w:val="single"/>
        </w:rPr>
        <w:t xml:space="preserve">, the District of Columbia, the State of Maryland, and the Commonwealth of Virginia would first undertake an audit to determine whether inventory refinements were needed.  This audit may include, but would not be limited to, a determination that appropriate models, control strategies, monitoring strategies, planning assumptions, industrial throughput, and production data were used in the attainment year and future year estimates.  If this audit does not reconcile the originally estimated emissions </w:t>
      </w:r>
      <w:proofErr w:type="spellStart"/>
      <w:r w:rsidRPr="00374A1F">
        <w:rPr>
          <w:szCs w:val="24"/>
          <w:u w:val="single"/>
        </w:rPr>
        <w:t>exceedances</w:t>
      </w:r>
      <w:proofErr w:type="spellEnd"/>
      <w:r w:rsidRPr="00374A1F">
        <w:rPr>
          <w:szCs w:val="24"/>
          <w:u w:val="single"/>
        </w:rPr>
        <w:t xml:space="preserve">, then the District of Columbia, the State of Maryland, and the Commonwealth of Virginia commit to implementing one or more of the programs listed in </w:t>
      </w:r>
      <w:fldSimple w:instr=" REF _Ref308691839 \h  \* MERGEFORMAT ">
        <w:r w:rsidRPr="00374A1F">
          <w:rPr>
            <w:szCs w:val="24"/>
            <w:u w:val="single"/>
          </w:rPr>
          <w:t xml:space="preserve">Table </w:t>
        </w:r>
        <w:r w:rsidRPr="00374A1F">
          <w:rPr>
            <w:noProof/>
            <w:szCs w:val="24"/>
            <w:u w:val="single"/>
          </w:rPr>
          <w:lastRenderedPageBreak/>
          <w:t>8</w:t>
        </w:r>
        <w:r w:rsidRPr="00374A1F">
          <w:rPr>
            <w:noProof/>
            <w:szCs w:val="24"/>
            <w:u w:val="single"/>
          </w:rPr>
          <w:noBreakHyphen/>
          <w:t>1</w:t>
        </w:r>
      </w:fldSimple>
      <w:r w:rsidRPr="00374A1F">
        <w:rPr>
          <w:szCs w:val="24"/>
          <w:u w:val="single"/>
        </w:rPr>
        <w:t xml:space="preserve"> so that future total emission estimates for the Washington DC-MD-VA area will not exceed those listed in </w:t>
      </w:r>
      <w:fldSimple w:instr=" REF _Ref311112993 \h  \* MERGEFORMAT ">
        <w:r w:rsidRPr="00374A1F">
          <w:rPr>
            <w:szCs w:val="24"/>
            <w:u w:val="single"/>
          </w:rPr>
          <w:t xml:space="preserve">Table </w:t>
        </w:r>
        <w:r w:rsidRPr="00374A1F">
          <w:rPr>
            <w:noProof/>
            <w:szCs w:val="24"/>
            <w:u w:val="single"/>
          </w:rPr>
          <w:t>4</w:t>
        </w:r>
        <w:r w:rsidRPr="00374A1F">
          <w:rPr>
            <w:noProof/>
            <w:szCs w:val="24"/>
            <w:u w:val="single"/>
          </w:rPr>
          <w:noBreakHyphen/>
          <w:t>1</w:t>
        </w:r>
      </w:fldSimple>
      <w:r w:rsidRPr="00374A1F">
        <w:rPr>
          <w:szCs w:val="24"/>
          <w:u w:val="single"/>
        </w:rPr>
        <w:t>.</w:t>
      </w:r>
    </w:p>
    <w:p w:rsidR="009E41D5" w:rsidRPr="004661EE" w:rsidRDefault="009E41D5" w:rsidP="009E41D5">
      <w:pPr>
        <w:pStyle w:val="Heading3"/>
        <w:rPr>
          <w:szCs w:val="24"/>
        </w:rPr>
      </w:pPr>
      <w:bookmarkStart w:id="11" w:name="_Ref308604691"/>
      <w:bookmarkStart w:id="12" w:name="_Toc311793367"/>
      <w:r w:rsidRPr="004661EE">
        <w:rPr>
          <w:szCs w:val="24"/>
        </w:rPr>
        <w:t>Near Term Contingency Measures</w:t>
      </w:r>
      <w:bookmarkEnd w:id="11"/>
      <w:r w:rsidRPr="004661EE">
        <w:rPr>
          <w:szCs w:val="24"/>
        </w:rPr>
        <w:t xml:space="preserve"> for Air Quality </w:t>
      </w:r>
      <w:proofErr w:type="spellStart"/>
      <w:r w:rsidRPr="004661EE">
        <w:rPr>
          <w:szCs w:val="24"/>
        </w:rPr>
        <w:t>Exceedances</w:t>
      </w:r>
      <w:bookmarkEnd w:id="12"/>
      <w:proofErr w:type="spellEnd"/>
    </w:p>
    <w:p w:rsidR="009E41D5" w:rsidRPr="004661EE" w:rsidRDefault="009E41D5" w:rsidP="009E41D5">
      <w:pPr>
        <w:ind w:firstLine="720"/>
        <w:rPr>
          <w:szCs w:val="24"/>
        </w:rPr>
      </w:pPr>
      <w:r w:rsidRPr="004661EE">
        <w:rPr>
          <w:szCs w:val="24"/>
        </w:rPr>
        <w:t xml:space="preserve">If an annual </w:t>
      </w:r>
      <w:proofErr w:type="spellStart"/>
      <w:r w:rsidRPr="004661EE">
        <w:rPr>
          <w:szCs w:val="24"/>
        </w:rPr>
        <w:t>exceedance</w:t>
      </w:r>
      <w:proofErr w:type="spellEnd"/>
      <w:r w:rsidRPr="004661EE">
        <w:rPr>
          <w:szCs w:val="24"/>
        </w:rPr>
        <w:t xml:space="preserve"> or violation </w:t>
      </w:r>
      <w:proofErr w:type="gramStart"/>
      <w:r w:rsidRPr="004661EE">
        <w:rPr>
          <w:szCs w:val="24"/>
        </w:rPr>
        <w:t xml:space="preserve">of 15.0 </w:t>
      </w:r>
      <w:proofErr w:type="spellStart"/>
      <w:r w:rsidRPr="004661EE">
        <w:rPr>
          <w:szCs w:val="24"/>
        </w:rPr>
        <w:t>μg</w:t>
      </w:r>
      <w:proofErr w:type="spellEnd"/>
      <w:r w:rsidRPr="004661EE">
        <w:rPr>
          <w:szCs w:val="24"/>
        </w:rPr>
        <w:t>/m</w:t>
      </w:r>
      <w:r w:rsidRPr="004661EE">
        <w:rPr>
          <w:szCs w:val="24"/>
          <w:vertAlign w:val="superscript"/>
        </w:rPr>
        <w:t>3</w:t>
      </w:r>
      <w:r w:rsidRPr="004661EE">
        <w:rPr>
          <w:szCs w:val="24"/>
        </w:rPr>
        <w:t xml:space="preserve">, as described in Section </w:t>
      </w:r>
      <w:fldSimple w:instr=" REF _Ref308604759 \r \h  \* MERGEFORMAT ">
        <w:r w:rsidRPr="00F414A2">
          <w:rPr>
            <w:szCs w:val="24"/>
          </w:rPr>
          <w:t>8.2</w:t>
        </w:r>
      </w:fldSimple>
      <w:r w:rsidRPr="004661EE">
        <w:rPr>
          <w:szCs w:val="24"/>
        </w:rPr>
        <w:t>,</w:t>
      </w:r>
      <w:proofErr w:type="gramEnd"/>
      <w:r w:rsidRPr="004661EE">
        <w:rPr>
          <w:szCs w:val="24"/>
        </w:rPr>
        <w:t xml:space="preserve"> occurs prior to January 1, 2013, the Maryland Healthy Air Act’s second phase will provide significant emissions reductions of precursors to PM</w:t>
      </w:r>
      <w:r w:rsidRPr="004661EE">
        <w:rPr>
          <w:szCs w:val="24"/>
          <w:vertAlign w:val="subscript"/>
        </w:rPr>
        <w:t>2.5</w:t>
      </w:r>
      <w:r w:rsidRPr="004661EE">
        <w:rPr>
          <w:szCs w:val="24"/>
        </w:rPr>
        <w:t>.  This regulation, included in COMAR 26.11.27, requires additional SO</w:t>
      </w:r>
      <w:r w:rsidRPr="004661EE">
        <w:rPr>
          <w:szCs w:val="24"/>
          <w:vertAlign w:val="subscript"/>
        </w:rPr>
        <w:t>2</w:t>
      </w:r>
      <w:r w:rsidRPr="004661EE">
        <w:rPr>
          <w:szCs w:val="24"/>
        </w:rPr>
        <w:t xml:space="preserve"> reductions beginning January 1, 2013, for applicable coal-fired power plants in Maryland.  These applicable units include coal-fired boilers located at the Morgantown Power Plant, the Dickerson Power Plant, and the Chalk Point Power Plant in the Washington DC-MD-VA nonattainment area.  In 2013 the allowable tonnage cap for the units at these facilities will be reduced from 24,209 </w:t>
      </w:r>
      <w:proofErr w:type="spellStart"/>
      <w:r w:rsidRPr="004661EE">
        <w:rPr>
          <w:szCs w:val="24"/>
        </w:rPr>
        <w:t>tpy</w:t>
      </w:r>
      <w:proofErr w:type="spellEnd"/>
      <w:r w:rsidRPr="004661EE">
        <w:rPr>
          <w:szCs w:val="24"/>
        </w:rPr>
        <w:t xml:space="preserve"> of SO</w:t>
      </w:r>
      <w:r w:rsidRPr="004661EE">
        <w:rPr>
          <w:szCs w:val="24"/>
          <w:vertAlign w:val="subscript"/>
        </w:rPr>
        <w:t>2</w:t>
      </w:r>
      <w:r w:rsidRPr="004661EE">
        <w:rPr>
          <w:szCs w:val="24"/>
        </w:rPr>
        <w:t xml:space="preserve"> to 18,541 </w:t>
      </w:r>
      <w:proofErr w:type="spellStart"/>
      <w:r w:rsidRPr="004661EE">
        <w:rPr>
          <w:szCs w:val="24"/>
        </w:rPr>
        <w:t>tpy</w:t>
      </w:r>
      <w:proofErr w:type="spellEnd"/>
      <w:r w:rsidRPr="004661EE">
        <w:rPr>
          <w:szCs w:val="24"/>
        </w:rPr>
        <w:t xml:space="preserve"> of SO</w:t>
      </w:r>
      <w:r w:rsidRPr="004661EE">
        <w:rPr>
          <w:szCs w:val="24"/>
          <w:vertAlign w:val="subscript"/>
        </w:rPr>
        <w:t>2</w:t>
      </w:r>
      <w:r w:rsidRPr="004661EE">
        <w:rPr>
          <w:szCs w:val="24"/>
        </w:rPr>
        <w:t>, a reduction of almost 24</w:t>
      </w:r>
      <w:r>
        <w:rPr>
          <w:szCs w:val="24"/>
        </w:rPr>
        <w:t xml:space="preserve"> percent</w:t>
      </w:r>
      <w:r w:rsidRPr="004661EE">
        <w:rPr>
          <w:szCs w:val="24"/>
        </w:rPr>
        <w:t>.  This regulation has the added benefit of already being codified; these reductions will take place in January of 2013 without further action by the State of Maryland.</w:t>
      </w:r>
    </w:p>
    <w:p w:rsidR="009E41D5" w:rsidRPr="004661EE" w:rsidRDefault="009E41D5" w:rsidP="009E41D5">
      <w:pPr>
        <w:pStyle w:val="Heading3"/>
        <w:rPr>
          <w:szCs w:val="24"/>
        </w:rPr>
      </w:pPr>
      <w:bookmarkStart w:id="13" w:name="_Ref309027453"/>
      <w:bookmarkStart w:id="14" w:name="_Toc311793368"/>
      <w:r w:rsidRPr="004661EE">
        <w:rPr>
          <w:szCs w:val="24"/>
        </w:rPr>
        <w:t>Long Term Contingency Measures</w:t>
      </w:r>
      <w:bookmarkEnd w:id="13"/>
      <w:bookmarkEnd w:id="14"/>
    </w:p>
    <w:p w:rsidR="009E41D5" w:rsidRPr="004661EE" w:rsidRDefault="009E41D5" w:rsidP="009E41D5">
      <w:pPr>
        <w:ind w:firstLine="720"/>
        <w:rPr>
          <w:szCs w:val="24"/>
        </w:rPr>
      </w:pPr>
      <w:r w:rsidRPr="004661EE">
        <w:rPr>
          <w:szCs w:val="24"/>
        </w:rPr>
        <w:t xml:space="preserve">If an annual </w:t>
      </w:r>
      <w:proofErr w:type="spellStart"/>
      <w:r w:rsidRPr="004661EE">
        <w:rPr>
          <w:szCs w:val="24"/>
        </w:rPr>
        <w:t>exceedance</w:t>
      </w:r>
      <w:proofErr w:type="spellEnd"/>
      <w:r w:rsidRPr="004661EE">
        <w:rPr>
          <w:szCs w:val="24"/>
        </w:rPr>
        <w:t xml:space="preserve"> </w:t>
      </w:r>
      <w:proofErr w:type="gramStart"/>
      <w:r w:rsidRPr="004661EE">
        <w:rPr>
          <w:szCs w:val="24"/>
        </w:rPr>
        <w:t xml:space="preserve">of 15.0 </w:t>
      </w:r>
      <w:proofErr w:type="spellStart"/>
      <w:r w:rsidRPr="004661EE">
        <w:rPr>
          <w:szCs w:val="24"/>
        </w:rPr>
        <w:t>μg</w:t>
      </w:r>
      <w:proofErr w:type="spellEnd"/>
      <w:r w:rsidRPr="004661EE">
        <w:rPr>
          <w:szCs w:val="24"/>
        </w:rPr>
        <w:t>/m</w:t>
      </w:r>
      <w:r w:rsidRPr="004661EE">
        <w:rPr>
          <w:szCs w:val="24"/>
          <w:vertAlign w:val="superscript"/>
        </w:rPr>
        <w:t>3</w:t>
      </w:r>
      <w:r w:rsidRPr="004661EE">
        <w:rPr>
          <w:szCs w:val="24"/>
        </w:rPr>
        <w:t xml:space="preserve">, as described in Section </w:t>
      </w:r>
      <w:fldSimple w:instr=" REF _Ref308604759 \r \h  \* MERGEFORMAT ">
        <w:r w:rsidRPr="00F414A2">
          <w:rPr>
            <w:szCs w:val="24"/>
          </w:rPr>
          <w:t>8.2</w:t>
        </w:r>
      </w:fldSimple>
      <w:r w:rsidRPr="004661EE">
        <w:rPr>
          <w:szCs w:val="24"/>
        </w:rPr>
        <w:t>,</w:t>
      </w:r>
      <w:proofErr w:type="gramEnd"/>
      <w:r w:rsidRPr="004661EE">
        <w:rPr>
          <w:szCs w:val="24"/>
        </w:rPr>
        <w:t xml:space="preserve"> occurs after January 1, 2013, the District of Columbia, the State of Maryland, and the Commonwealth of Virginia commit to implementing one of the programs listed in </w:t>
      </w:r>
      <w:fldSimple w:instr=" REF _Ref308691839 \h  \* MERGEFORMAT ">
        <w:r w:rsidRPr="00F414A2">
          <w:rPr>
            <w:szCs w:val="24"/>
          </w:rPr>
          <w:t xml:space="preserve">Table </w:t>
        </w:r>
        <w:r w:rsidRPr="00F414A2">
          <w:rPr>
            <w:noProof/>
            <w:szCs w:val="24"/>
          </w:rPr>
          <w:t>8</w:t>
        </w:r>
        <w:r w:rsidRPr="00F414A2">
          <w:rPr>
            <w:noProof/>
            <w:szCs w:val="24"/>
          </w:rPr>
          <w:noBreakHyphen/>
          <w:t>1</w:t>
        </w:r>
      </w:fldSimple>
      <w:r w:rsidRPr="004661EE">
        <w:rPr>
          <w:szCs w:val="24"/>
        </w:rPr>
        <w:t xml:space="preserve"> to garner additional emission reductions </w:t>
      </w:r>
      <w:r>
        <w:rPr>
          <w:szCs w:val="24"/>
        </w:rPr>
        <w:t>for air quality improvement</w:t>
      </w:r>
      <w:r w:rsidRPr="004661EE">
        <w:rPr>
          <w:szCs w:val="24"/>
        </w:rPr>
        <w:t>.</w:t>
      </w:r>
    </w:p>
    <w:p w:rsidR="009E41D5" w:rsidRPr="004661EE" w:rsidRDefault="009E41D5" w:rsidP="009E41D5">
      <w:pPr>
        <w:ind w:firstLine="720"/>
        <w:rPr>
          <w:szCs w:val="24"/>
        </w:rPr>
      </w:pPr>
    </w:p>
    <w:p w:rsidR="009E41D5" w:rsidRDefault="009E41D5" w:rsidP="009E41D5">
      <w:pPr>
        <w:ind w:firstLine="720"/>
        <w:rPr>
          <w:szCs w:val="24"/>
        </w:rPr>
      </w:pPr>
      <w:r w:rsidRPr="004661EE">
        <w:rPr>
          <w:szCs w:val="24"/>
        </w:rPr>
        <w:t xml:space="preserve">If an annual violation, as described in Section </w:t>
      </w:r>
      <w:fldSimple w:instr=" REF _Ref308604759 \w \h  \* MERGEFORMAT ">
        <w:r w:rsidRPr="00F414A2">
          <w:rPr>
            <w:szCs w:val="24"/>
          </w:rPr>
          <w:t>8.2</w:t>
        </w:r>
      </w:fldSimple>
      <w:r w:rsidRPr="004661EE">
        <w:rPr>
          <w:szCs w:val="24"/>
        </w:rPr>
        <w:t xml:space="preserve">, occurs after January 1, 2013, the District of Columbia, the State of Maryland, and the Commonwealth of Virginia commit to implementing two or more of the programs listed in </w:t>
      </w:r>
      <w:fldSimple w:instr=" REF _Ref308691839 \h  \* MERGEFORMAT ">
        <w:r w:rsidRPr="00F414A2">
          <w:rPr>
            <w:szCs w:val="24"/>
          </w:rPr>
          <w:t xml:space="preserve">Table </w:t>
        </w:r>
        <w:r w:rsidRPr="00F414A2">
          <w:rPr>
            <w:noProof/>
            <w:szCs w:val="24"/>
          </w:rPr>
          <w:t>8</w:t>
        </w:r>
        <w:r w:rsidRPr="00F414A2">
          <w:rPr>
            <w:noProof/>
            <w:szCs w:val="24"/>
          </w:rPr>
          <w:noBreakHyphen/>
          <w:t>1</w:t>
        </w:r>
      </w:fldSimple>
      <w:r w:rsidRPr="004661EE">
        <w:rPr>
          <w:szCs w:val="24"/>
        </w:rPr>
        <w:t xml:space="preserve"> to garner additional emission reductions </w:t>
      </w:r>
      <w:r>
        <w:rPr>
          <w:szCs w:val="24"/>
        </w:rPr>
        <w:t>for air quality improvement</w:t>
      </w:r>
      <w:r w:rsidRPr="004661EE">
        <w:rPr>
          <w:szCs w:val="24"/>
        </w:rPr>
        <w:t>.</w:t>
      </w:r>
    </w:p>
    <w:p w:rsidR="009E41D5" w:rsidRPr="008F56CB" w:rsidRDefault="009E41D5" w:rsidP="009E41D5">
      <w:pPr>
        <w:ind w:firstLine="720"/>
        <w:rPr>
          <w:szCs w:val="24"/>
        </w:rPr>
      </w:pPr>
    </w:p>
    <w:p w:rsidR="009E41D5" w:rsidRPr="002A4F32" w:rsidRDefault="009E41D5" w:rsidP="009E41D5">
      <w:pPr>
        <w:pStyle w:val="Caption"/>
        <w:jc w:val="center"/>
        <w:rPr>
          <w:sz w:val="20"/>
          <w:szCs w:val="20"/>
        </w:rPr>
      </w:pPr>
      <w:bookmarkStart w:id="15" w:name="_Ref308691839"/>
      <w:bookmarkStart w:id="16" w:name="_Toc311793398"/>
      <w:r w:rsidRPr="002A4F32">
        <w:rPr>
          <w:sz w:val="20"/>
          <w:szCs w:val="20"/>
        </w:rPr>
        <w:t xml:space="preserve">Table </w:t>
      </w:r>
      <w:r w:rsidR="00E30A91" w:rsidRPr="002A4F32">
        <w:rPr>
          <w:sz w:val="20"/>
          <w:szCs w:val="20"/>
        </w:rPr>
        <w:fldChar w:fldCharType="begin"/>
      </w:r>
      <w:r w:rsidRPr="002A4F32">
        <w:rPr>
          <w:sz w:val="20"/>
          <w:szCs w:val="20"/>
        </w:rPr>
        <w:instrText xml:space="preserve"> STYLEREF 1 \s </w:instrText>
      </w:r>
      <w:r w:rsidR="00E30A91" w:rsidRPr="002A4F32">
        <w:rPr>
          <w:sz w:val="20"/>
          <w:szCs w:val="20"/>
        </w:rPr>
        <w:fldChar w:fldCharType="separate"/>
      </w:r>
      <w:r>
        <w:rPr>
          <w:noProof/>
          <w:sz w:val="20"/>
          <w:szCs w:val="20"/>
        </w:rPr>
        <w:t>8</w:t>
      </w:r>
      <w:r w:rsidR="00E30A91" w:rsidRPr="002A4F32">
        <w:rPr>
          <w:sz w:val="20"/>
          <w:szCs w:val="20"/>
        </w:rPr>
        <w:fldChar w:fldCharType="end"/>
      </w:r>
      <w:r w:rsidRPr="002A4F32">
        <w:rPr>
          <w:sz w:val="20"/>
          <w:szCs w:val="20"/>
        </w:rPr>
        <w:noBreakHyphen/>
      </w:r>
      <w:r w:rsidR="00E30A91" w:rsidRPr="002A4F32">
        <w:rPr>
          <w:sz w:val="20"/>
          <w:szCs w:val="20"/>
        </w:rPr>
        <w:fldChar w:fldCharType="begin"/>
      </w:r>
      <w:r w:rsidRPr="002A4F32">
        <w:rPr>
          <w:sz w:val="20"/>
          <w:szCs w:val="20"/>
        </w:rPr>
        <w:instrText xml:space="preserve"> SEQ Table \* ARABIC \s 1 </w:instrText>
      </w:r>
      <w:r w:rsidR="00E30A91" w:rsidRPr="002A4F32">
        <w:rPr>
          <w:sz w:val="20"/>
          <w:szCs w:val="20"/>
        </w:rPr>
        <w:fldChar w:fldCharType="separate"/>
      </w:r>
      <w:r>
        <w:rPr>
          <w:noProof/>
          <w:sz w:val="20"/>
          <w:szCs w:val="20"/>
        </w:rPr>
        <w:t>1</w:t>
      </w:r>
      <w:r w:rsidR="00E30A91" w:rsidRPr="002A4F32">
        <w:rPr>
          <w:sz w:val="20"/>
          <w:szCs w:val="20"/>
        </w:rPr>
        <w:fldChar w:fldCharType="end"/>
      </w:r>
      <w:bookmarkEnd w:id="15"/>
      <w:r w:rsidRPr="002A4F32">
        <w:rPr>
          <w:sz w:val="20"/>
          <w:szCs w:val="20"/>
        </w:rPr>
        <w:t>:  Contingency Control Measures</w:t>
      </w:r>
      <w:bookmarkEnd w:id="16"/>
    </w:p>
    <w:tbl>
      <w:tblPr>
        <w:tblStyle w:val="TableGrid"/>
        <w:tblW w:w="0" w:type="auto"/>
        <w:jc w:val="center"/>
        <w:tblLook w:val="04A0"/>
      </w:tblPr>
      <w:tblGrid>
        <w:gridCol w:w="6678"/>
      </w:tblGrid>
      <w:tr w:rsidR="009E41D5" w:rsidRPr="002A4F32" w:rsidTr="00EA2EF9">
        <w:trPr>
          <w:trHeight w:val="360"/>
          <w:jc w:val="center"/>
        </w:trPr>
        <w:tc>
          <w:tcPr>
            <w:tcW w:w="6678" w:type="dxa"/>
            <w:tcBorders>
              <w:top w:val="single" w:sz="18" w:space="0" w:color="auto"/>
              <w:left w:val="single" w:sz="18" w:space="0" w:color="auto"/>
              <w:right w:val="single" w:sz="18" w:space="0" w:color="auto"/>
            </w:tcBorders>
            <w:shd w:val="clear" w:color="auto" w:fill="D9D9D9" w:themeFill="background1" w:themeFillShade="D9"/>
            <w:vAlign w:val="center"/>
          </w:tcPr>
          <w:p w:rsidR="009E41D5" w:rsidRPr="002A4F32" w:rsidRDefault="009E41D5" w:rsidP="00EA2EF9">
            <w:pPr>
              <w:rPr>
                <w:sz w:val="20"/>
              </w:rPr>
            </w:pPr>
            <w:r w:rsidRPr="002A4F32">
              <w:rPr>
                <w:sz w:val="20"/>
              </w:rPr>
              <w:t>PM</w:t>
            </w:r>
            <w:r w:rsidRPr="002A4F32">
              <w:rPr>
                <w:sz w:val="20"/>
                <w:vertAlign w:val="subscript"/>
              </w:rPr>
              <w:t>2.5</w:t>
            </w:r>
            <w:r w:rsidRPr="002A4F32">
              <w:rPr>
                <w:sz w:val="20"/>
              </w:rPr>
              <w:t xml:space="preserve"> Reasonable Available Control Measure (RACM) Determination</w:t>
            </w:r>
          </w:p>
        </w:tc>
      </w:tr>
      <w:tr w:rsidR="009E41D5" w:rsidRPr="002A4F32" w:rsidTr="00EA2EF9">
        <w:trPr>
          <w:trHeight w:val="360"/>
          <w:jc w:val="center"/>
        </w:trPr>
        <w:tc>
          <w:tcPr>
            <w:tcW w:w="6678" w:type="dxa"/>
            <w:tcBorders>
              <w:left w:val="single" w:sz="18" w:space="0" w:color="auto"/>
              <w:right w:val="single" w:sz="18" w:space="0" w:color="auto"/>
            </w:tcBorders>
            <w:vAlign w:val="center"/>
          </w:tcPr>
          <w:p w:rsidR="009E41D5" w:rsidRPr="002A4F32" w:rsidRDefault="009E41D5" w:rsidP="00EA2EF9">
            <w:pPr>
              <w:rPr>
                <w:sz w:val="20"/>
              </w:rPr>
            </w:pPr>
            <w:r w:rsidRPr="002A4F32">
              <w:rPr>
                <w:sz w:val="20"/>
              </w:rPr>
              <w:t>SO</w:t>
            </w:r>
            <w:r w:rsidRPr="002A4F32">
              <w:rPr>
                <w:sz w:val="20"/>
                <w:vertAlign w:val="subscript"/>
              </w:rPr>
              <w:t>2</w:t>
            </w:r>
            <w:r w:rsidRPr="002A4F32">
              <w:rPr>
                <w:sz w:val="20"/>
              </w:rPr>
              <w:t xml:space="preserve"> RACM Determination</w:t>
            </w:r>
          </w:p>
        </w:tc>
      </w:tr>
      <w:tr w:rsidR="009E41D5" w:rsidRPr="002A4F32" w:rsidTr="00EA2EF9">
        <w:trPr>
          <w:trHeight w:val="360"/>
          <w:jc w:val="center"/>
        </w:trPr>
        <w:tc>
          <w:tcPr>
            <w:tcW w:w="6678" w:type="dxa"/>
            <w:tcBorders>
              <w:left w:val="single" w:sz="18" w:space="0" w:color="auto"/>
              <w:right w:val="single" w:sz="18" w:space="0" w:color="auto"/>
            </w:tcBorders>
            <w:shd w:val="clear" w:color="auto" w:fill="D9D9D9" w:themeFill="background1" w:themeFillShade="D9"/>
            <w:vAlign w:val="center"/>
          </w:tcPr>
          <w:p w:rsidR="009E41D5" w:rsidRPr="002A4F32" w:rsidRDefault="009E41D5" w:rsidP="00EA2EF9">
            <w:pPr>
              <w:rPr>
                <w:sz w:val="20"/>
              </w:rPr>
            </w:pPr>
            <w:r w:rsidRPr="002A4F32">
              <w:rPr>
                <w:sz w:val="20"/>
              </w:rPr>
              <w:t>NO</w:t>
            </w:r>
            <w:r w:rsidRPr="002A4F32">
              <w:rPr>
                <w:sz w:val="20"/>
                <w:vertAlign w:val="subscript"/>
              </w:rPr>
              <w:t>X</w:t>
            </w:r>
            <w:r w:rsidRPr="002A4F32">
              <w:rPr>
                <w:sz w:val="20"/>
              </w:rPr>
              <w:t xml:space="preserve"> RACM Determination</w:t>
            </w:r>
          </w:p>
        </w:tc>
      </w:tr>
      <w:tr w:rsidR="009E41D5" w:rsidRPr="002A4F32" w:rsidTr="00EA2EF9">
        <w:trPr>
          <w:trHeight w:val="360"/>
          <w:jc w:val="center"/>
        </w:trPr>
        <w:tc>
          <w:tcPr>
            <w:tcW w:w="6678" w:type="dxa"/>
            <w:tcBorders>
              <w:left w:val="single" w:sz="18" w:space="0" w:color="auto"/>
              <w:right w:val="single" w:sz="18" w:space="0" w:color="auto"/>
            </w:tcBorders>
            <w:vAlign w:val="center"/>
          </w:tcPr>
          <w:p w:rsidR="009E41D5" w:rsidRPr="002A4F32" w:rsidRDefault="009E41D5" w:rsidP="00EA2EF9">
            <w:pPr>
              <w:rPr>
                <w:sz w:val="20"/>
              </w:rPr>
            </w:pPr>
            <w:r w:rsidRPr="002A4F32">
              <w:rPr>
                <w:sz w:val="20"/>
              </w:rPr>
              <w:t>Non Road Diesel Emission Reduction Strategies</w:t>
            </w:r>
          </w:p>
        </w:tc>
      </w:tr>
      <w:tr w:rsidR="009E41D5" w:rsidRPr="002A4F32" w:rsidTr="00EA2EF9">
        <w:trPr>
          <w:trHeight w:val="360"/>
          <w:jc w:val="center"/>
        </w:trPr>
        <w:tc>
          <w:tcPr>
            <w:tcW w:w="6678" w:type="dxa"/>
            <w:tcBorders>
              <w:left w:val="single" w:sz="18" w:space="0" w:color="auto"/>
              <w:right w:val="single" w:sz="18" w:space="0" w:color="auto"/>
            </w:tcBorders>
            <w:shd w:val="clear" w:color="auto" w:fill="D9D9D9" w:themeFill="background1" w:themeFillShade="D9"/>
            <w:vAlign w:val="center"/>
          </w:tcPr>
          <w:p w:rsidR="009E41D5" w:rsidRPr="002A4F32" w:rsidRDefault="009E41D5" w:rsidP="00EA2EF9">
            <w:pPr>
              <w:rPr>
                <w:sz w:val="20"/>
              </w:rPr>
            </w:pPr>
            <w:r>
              <w:rPr>
                <w:sz w:val="20"/>
              </w:rPr>
              <w:t>Low Sulfur Home Heating Oil Requirements in the DC portion of the Washington DC-MD-VA area</w:t>
            </w:r>
          </w:p>
        </w:tc>
      </w:tr>
      <w:tr w:rsidR="009E41D5" w:rsidRPr="002A4F32" w:rsidTr="00EA2EF9">
        <w:trPr>
          <w:trHeight w:val="360"/>
          <w:jc w:val="center"/>
        </w:trPr>
        <w:tc>
          <w:tcPr>
            <w:tcW w:w="6678" w:type="dxa"/>
            <w:tcBorders>
              <w:left w:val="single" w:sz="18" w:space="0" w:color="auto"/>
              <w:right w:val="single" w:sz="18" w:space="0" w:color="auto"/>
            </w:tcBorders>
            <w:shd w:val="clear" w:color="auto" w:fill="FFFFFF" w:themeFill="background1"/>
            <w:vAlign w:val="center"/>
          </w:tcPr>
          <w:p w:rsidR="009E41D5" w:rsidRDefault="009E41D5" w:rsidP="00EA2EF9">
            <w:pPr>
              <w:rPr>
                <w:sz w:val="20"/>
              </w:rPr>
            </w:pPr>
            <w:r>
              <w:rPr>
                <w:sz w:val="20"/>
              </w:rPr>
              <w:t>Low Sulfur Home Heating Oil Requirements in the MD portion of the Washington DC-MD-VA area</w:t>
            </w:r>
          </w:p>
        </w:tc>
      </w:tr>
      <w:tr w:rsidR="009E41D5" w:rsidRPr="002A4F32" w:rsidTr="00EA2EF9">
        <w:trPr>
          <w:trHeight w:val="360"/>
          <w:jc w:val="center"/>
        </w:trPr>
        <w:tc>
          <w:tcPr>
            <w:tcW w:w="6678" w:type="dxa"/>
            <w:tcBorders>
              <w:left w:val="single" w:sz="18" w:space="0" w:color="auto"/>
              <w:right w:val="single" w:sz="18" w:space="0" w:color="auto"/>
            </w:tcBorders>
            <w:shd w:val="clear" w:color="auto" w:fill="D9D9D9" w:themeFill="background1" w:themeFillShade="D9"/>
            <w:vAlign w:val="center"/>
          </w:tcPr>
          <w:p w:rsidR="009E41D5" w:rsidRPr="002A4F32" w:rsidRDefault="009E41D5" w:rsidP="00EA2EF9">
            <w:pPr>
              <w:rPr>
                <w:sz w:val="20"/>
              </w:rPr>
            </w:pPr>
            <w:r w:rsidRPr="002A4F32">
              <w:rPr>
                <w:sz w:val="20"/>
              </w:rPr>
              <w:t>Alternative Fuel and Diesel Retrofit Programs for Fleet Vehicle Operations</w:t>
            </w:r>
          </w:p>
        </w:tc>
      </w:tr>
      <w:tr w:rsidR="009E41D5" w:rsidRPr="002A4F32" w:rsidTr="00EA2EF9">
        <w:trPr>
          <w:trHeight w:val="360"/>
          <w:jc w:val="center"/>
        </w:trPr>
        <w:tc>
          <w:tcPr>
            <w:tcW w:w="6678" w:type="dxa"/>
            <w:tcBorders>
              <w:left w:val="single" w:sz="18" w:space="0" w:color="auto"/>
              <w:bottom w:val="single" w:sz="18" w:space="0" w:color="auto"/>
              <w:right w:val="single" w:sz="18" w:space="0" w:color="auto"/>
            </w:tcBorders>
            <w:shd w:val="clear" w:color="auto" w:fill="FFFFFF" w:themeFill="background1"/>
            <w:vAlign w:val="center"/>
          </w:tcPr>
          <w:p w:rsidR="009E41D5" w:rsidRPr="002A4F32" w:rsidRDefault="009E41D5" w:rsidP="00EA2EF9">
            <w:pPr>
              <w:rPr>
                <w:sz w:val="20"/>
              </w:rPr>
            </w:pPr>
            <w:r w:rsidRPr="002A4F32">
              <w:rPr>
                <w:sz w:val="20"/>
              </w:rPr>
              <w:t>Concrete Manufacturing – Wet Suppression Upgrade Requirements</w:t>
            </w:r>
          </w:p>
        </w:tc>
      </w:tr>
    </w:tbl>
    <w:p w:rsidR="00D703AA" w:rsidRDefault="00D703AA"/>
    <w:sectPr w:rsidR="00D703AA" w:rsidSect="006120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297" w:rsidRDefault="00476297" w:rsidP="009E6A8F">
      <w:r>
        <w:separator/>
      </w:r>
    </w:p>
  </w:endnote>
  <w:endnote w:type="continuationSeparator" w:id="0">
    <w:p w:rsidR="00476297" w:rsidRDefault="00476297" w:rsidP="009E6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8" w:rsidRDefault="008977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681086"/>
      <w:docPartObj>
        <w:docPartGallery w:val="Page Numbers (Bottom of Page)"/>
        <w:docPartUnique/>
      </w:docPartObj>
    </w:sdtPr>
    <w:sdtContent>
      <w:p w:rsidR="005553B9" w:rsidRDefault="005553B9">
        <w:pPr>
          <w:pStyle w:val="Footer"/>
          <w:jc w:val="right"/>
        </w:pPr>
        <w:r>
          <w:t xml:space="preserve">Page </w:t>
        </w:r>
        <w:fldSimple w:instr=" PAGE   \* MERGEFORMAT ">
          <w:r w:rsidR="00374A1F">
            <w:rPr>
              <w:noProof/>
            </w:rPr>
            <w:t>17</w:t>
          </w:r>
        </w:fldSimple>
      </w:p>
    </w:sdtContent>
  </w:sdt>
  <w:sdt>
    <w:sdtPr>
      <w:alias w:val="Title"/>
      <w:id w:val="77738743"/>
      <w:placeholder>
        <w:docPart w:val="CD36C04FA4F4440ABD4513CCAD7999D9"/>
      </w:placeholder>
      <w:dataBinding w:prefixMappings="xmlns:ns0='http://schemas.openxmlformats.org/package/2006/metadata/core-properties' xmlns:ns1='http://purl.org/dc/elements/1.1/'" w:xpath="/ns0:coreProperties[1]/ns1:title[1]" w:storeItemID="{6C3C8BC8-F283-45AE-878A-BAB7291924A1}"/>
      <w:text/>
    </w:sdtPr>
    <w:sdtContent>
      <w:p w:rsidR="006120CA" w:rsidRPr="00AF5B8A" w:rsidRDefault="0086723A" w:rsidP="00AF5B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t>Preliminary DRAFT, Washington DC-MD-VA Maintenance Plan</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8" w:rsidRDefault="00897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297" w:rsidRDefault="00476297" w:rsidP="009E6A8F">
      <w:r>
        <w:separator/>
      </w:r>
    </w:p>
  </w:footnote>
  <w:footnote w:type="continuationSeparator" w:id="0">
    <w:p w:rsidR="00476297" w:rsidRDefault="00476297" w:rsidP="009E6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8" w:rsidRDefault="008977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23A" w:rsidRDefault="008672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8" w:rsidRDefault="008977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E70"/>
    <w:multiLevelType w:val="multilevel"/>
    <w:tmpl w:val="F36C2FA4"/>
    <w:lvl w:ilvl="0">
      <w:start w:val="8"/>
      <w:numFmt w:val="decimal"/>
      <w:pStyle w:val="Heading1"/>
      <w:lvlText w:val="%1."/>
      <w:lvlJc w:val="left"/>
      <w:pPr>
        <w:ind w:left="360" w:hanging="360"/>
      </w:pPr>
      <w:rPr>
        <w:rFonts w:ascii="Times New Roman" w:hAnsi="Times New Roman" w:hint="default"/>
        <w:b/>
        <w:i w:val="0"/>
        <w:sz w:val="24"/>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nsid w:val="11023FF6"/>
    <w:multiLevelType w:val="hybridMultilevel"/>
    <w:tmpl w:val="24AA0866"/>
    <w:lvl w:ilvl="0" w:tplc="7BBE95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9E41D5"/>
    <w:rsid w:val="00191B78"/>
    <w:rsid w:val="002A2E0C"/>
    <w:rsid w:val="00374A1F"/>
    <w:rsid w:val="00476297"/>
    <w:rsid w:val="005553B9"/>
    <w:rsid w:val="005E1A37"/>
    <w:rsid w:val="006120CA"/>
    <w:rsid w:val="00692A36"/>
    <w:rsid w:val="0086723A"/>
    <w:rsid w:val="008916CA"/>
    <w:rsid w:val="00897788"/>
    <w:rsid w:val="00995578"/>
    <w:rsid w:val="009E41D5"/>
    <w:rsid w:val="009E6A8F"/>
    <w:rsid w:val="00AC2BD9"/>
    <w:rsid w:val="00AF5B8A"/>
    <w:rsid w:val="00C049EA"/>
    <w:rsid w:val="00D37AEA"/>
    <w:rsid w:val="00D703AA"/>
    <w:rsid w:val="00E30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D5"/>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9"/>
    <w:qFormat/>
    <w:rsid w:val="009E41D5"/>
    <w:pPr>
      <w:keepNext/>
      <w:keepLines/>
      <w:numPr>
        <w:numId w:val="1"/>
      </w:numPr>
      <w:spacing w:before="240" w:after="240"/>
      <w:outlineLvl w:val="0"/>
    </w:pPr>
    <w:rPr>
      <w:rFonts w:ascii="Times New Roman Bold" w:eastAsia="Times New Roman" w:hAnsi="Times New Roman Bold"/>
      <w:b/>
      <w:bCs/>
      <w:color w:val="000000"/>
      <w:szCs w:val="28"/>
    </w:rPr>
  </w:style>
  <w:style w:type="paragraph" w:styleId="Heading2">
    <w:name w:val="heading 2"/>
    <w:basedOn w:val="Normal"/>
    <w:next w:val="Normal"/>
    <w:link w:val="Heading2Char"/>
    <w:uiPriority w:val="99"/>
    <w:qFormat/>
    <w:rsid w:val="009E41D5"/>
    <w:pPr>
      <w:keepNext/>
      <w:keepLines/>
      <w:numPr>
        <w:ilvl w:val="1"/>
        <w:numId w:val="1"/>
      </w:numPr>
      <w:spacing w:before="240" w:after="240"/>
      <w:outlineLvl w:val="1"/>
    </w:pPr>
    <w:rPr>
      <w:rFonts w:eastAsia="Times New Roman"/>
      <w:b/>
      <w:bCs/>
      <w:color w:val="000000"/>
      <w:szCs w:val="26"/>
    </w:rPr>
  </w:style>
  <w:style w:type="paragraph" w:styleId="Heading3">
    <w:name w:val="heading 3"/>
    <w:basedOn w:val="Normal"/>
    <w:next w:val="Normal"/>
    <w:link w:val="Heading3Char"/>
    <w:uiPriority w:val="99"/>
    <w:qFormat/>
    <w:rsid w:val="009E41D5"/>
    <w:pPr>
      <w:keepNext/>
      <w:keepLines/>
      <w:numPr>
        <w:ilvl w:val="2"/>
        <w:numId w:val="1"/>
      </w:numPr>
      <w:spacing w:before="240" w:after="240"/>
      <w:outlineLvl w:val="2"/>
    </w:pPr>
    <w:rPr>
      <w:rFonts w:eastAsia="Times New Roman"/>
      <w:b/>
      <w:bCs/>
      <w:color w:val="000000"/>
    </w:rPr>
  </w:style>
  <w:style w:type="paragraph" w:styleId="Heading4">
    <w:name w:val="heading 4"/>
    <w:basedOn w:val="Normal"/>
    <w:next w:val="Normal"/>
    <w:link w:val="Heading4Char"/>
    <w:uiPriority w:val="99"/>
    <w:qFormat/>
    <w:rsid w:val="009E41D5"/>
    <w:pPr>
      <w:keepNext/>
      <w:keepLines/>
      <w:numPr>
        <w:ilvl w:val="3"/>
        <w:numId w:val="1"/>
      </w:numPr>
      <w:spacing w:before="200"/>
      <w:outlineLvl w:val="3"/>
    </w:pPr>
    <w:rPr>
      <w:rFonts w:eastAsia="Times New Roman"/>
      <w:b/>
      <w:bCs/>
      <w:iCs/>
      <w:color w:val="000000" w:themeColor="text1"/>
    </w:rPr>
  </w:style>
  <w:style w:type="paragraph" w:styleId="Heading5">
    <w:name w:val="heading 5"/>
    <w:basedOn w:val="Normal"/>
    <w:next w:val="Normal"/>
    <w:link w:val="Heading5Char"/>
    <w:uiPriority w:val="99"/>
    <w:qFormat/>
    <w:rsid w:val="009E41D5"/>
    <w:pPr>
      <w:keepNext/>
      <w:keepLines/>
      <w:numPr>
        <w:ilvl w:val="4"/>
        <w:numId w:val="1"/>
      </w:numPr>
      <w:spacing w:before="200"/>
      <w:outlineLvl w:val="4"/>
    </w:pPr>
    <w:rPr>
      <w:rFonts w:eastAsia="Times New Roman"/>
      <w:b/>
      <w:color w:val="000000" w:themeColor="text1"/>
    </w:rPr>
  </w:style>
  <w:style w:type="paragraph" w:styleId="Heading6">
    <w:name w:val="heading 6"/>
    <w:basedOn w:val="Normal"/>
    <w:next w:val="Normal"/>
    <w:link w:val="Heading6Char"/>
    <w:uiPriority w:val="99"/>
    <w:qFormat/>
    <w:rsid w:val="009E41D5"/>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9E41D5"/>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9E41D5"/>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9E41D5"/>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41D5"/>
    <w:rPr>
      <w:rFonts w:ascii="Times New Roman Bold" w:eastAsia="Times New Roman" w:hAnsi="Times New Roman Bold" w:cs="Times New Roman"/>
      <w:b/>
      <w:bCs/>
      <w:color w:val="000000"/>
      <w:sz w:val="24"/>
      <w:szCs w:val="28"/>
    </w:rPr>
  </w:style>
  <w:style w:type="character" w:customStyle="1" w:styleId="Heading2Char">
    <w:name w:val="Heading 2 Char"/>
    <w:basedOn w:val="DefaultParagraphFont"/>
    <w:link w:val="Heading2"/>
    <w:uiPriority w:val="99"/>
    <w:rsid w:val="009E41D5"/>
    <w:rPr>
      <w:rFonts w:ascii="Times New Roman" w:eastAsia="Times New Roman" w:hAnsi="Times New Roman" w:cs="Times New Roman"/>
      <w:b/>
      <w:bCs/>
      <w:color w:val="000000"/>
      <w:sz w:val="24"/>
      <w:szCs w:val="26"/>
    </w:rPr>
  </w:style>
  <w:style w:type="character" w:customStyle="1" w:styleId="Heading3Char">
    <w:name w:val="Heading 3 Char"/>
    <w:basedOn w:val="DefaultParagraphFont"/>
    <w:link w:val="Heading3"/>
    <w:uiPriority w:val="99"/>
    <w:rsid w:val="009E41D5"/>
    <w:rPr>
      <w:rFonts w:ascii="Times New Roman" w:eastAsia="Times New Roman" w:hAnsi="Times New Roman" w:cs="Times New Roman"/>
      <w:b/>
      <w:bCs/>
      <w:color w:val="000000"/>
      <w:sz w:val="24"/>
    </w:rPr>
  </w:style>
  <w:style w:type="character" w:customStyle="1" w:styleId="Heading4Char">
    <w:name w:val="Heading 4 Char"/>
    <w:basedOn w:val="DefaultParagraphFont"/>
    <w:link w:val="Heading4"/>
    <w:uiPriority w:val="99"/>
    <w:rsid w:val="009E41D5"/>
    <w:rPr>
      <w:rFonts w:ascii="Times New Roman" w:eastAsia="Times New Roman" w:hAnsi="Times New Roman" w:cs="Times New Roman"/>
      <w:b/>
      <w:bCs/>
      <w:iCs/>
      <w:color w:val="000000" w:themeColor="text1"/>
      <w:sz w:val="24"/>
    </w:rPr>
  </w:style>
  <w:style w:type="character" w:customStyle="1" w:styleId="Heading5Char">
    <w:name w:val="Heading 5 Char"/>
    <w:basedOn w:val="DefaultParagraphFont"/>
    <w:link w:val="Heading5"/>
    <w:uiPriority w:val="99"/>
    <w:rsid w:val="009E41D5"/>
    <w:rPr>
      <w:rFonts w:ascii="Times New Roman" w:eastAsia="Times New Roman" w:hAnsi="Times New Roman" w:cs="Times New Roman"/>
      <w:b/>
      <w:color w:val="000000" w:themeColor="text1"/>
      <w:sz w:val="24"/>
    </w:rPr>
  </w:style>
  <w:style w:type="character" w:customStyle="1" w:styleId="Heading6Char">
    <w:name w:val="Heading 6 Char"/>
    <w:basedOn w:val="DefaultParagraphFont"/>
    <w:link w:val="Heading6"/>
    <w:uiPriority w:val="99"/>
    <w:rsid w:val="009E41D5"/>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9"/>
    <w:rsid w:val="009E41D5"/>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9"/>
    <w:rsid w:val="009E41D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9E41D5"/>
    <w:rPr>
      <w:rFonts w:ascii="Cambria" w:eastAsia="Times New Roman" w:hAnsi="Cambria" w:cs="Times New Roman"/>
      <w:i/>
      <w:iCs/>
      <w:color w:val="404040"/>
      <w:sz w:val="20"/>
      <w:szCs w:val="20"/>
    </w:rPr>
  </w:style>
  <w:style w:type="paragraph" w:styleId="Caption">
    <w:name w:val="caption"/>
    <w:basedOn w:val="Normal"/>
    <w:next w:val="Normal"/>
    <w:uiPriority w:val="99"/>
    <w:qFormat/>
    <w:rsid w:val="009E41D5"/>
    <w:pPr>
      <w:spacing w:after="200"/>
    </w:pPr>
    <w:rPr>
      <w:b/>
      <w:bCs/>
      <w:i/>
      <w:color w:val="000000"/>
      <w:sz w:val="18"/>
      <w:szCs w:val="18"/>
    </w:rPr>
  </w:style>
  <w:style w:type="paragraph" w:styleId="ListParagraph">
    <w:name w:val="List Paragraph"/>
    <w:basedOn w:val="Normal"/>
    <w:uiPriority w:val="34"/>
    <w:qFormat/>
    <w:rsid w:val="009E41D5"/>
    <w:pPr>
      <w:ind w:left="720"/>
      <w:contextualSpacing/>
    </w:pPr>
  </w:style>
  <w:style w:type="table" w:styleId="TableGrid">
    <w:name w:val="Table Grid"/>
    <w:basedOn w:val="TableNormal"/>
    <w:rsid w:val="009E41D5"/>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6A8F"/>
    <w:pPr>
      <w:tabs>
        <w:tab w:val="center" w:pos="4680"/>
        <w:tab w:val="right" w:pos="9360"/>
      </w:tabs>
    </w:pPr>
  </w:style>
  <w:style w:type="character" w:customStyle="1" w:styleId="HeaderChar">
    <w:name w:val="Header Char"/>
    <w:basedOn w:val="DefaultParagraphFont"/>
    <w:link w:val="Header"/>
    <w:uiPriority w:val="99"/>
    <w:rsid w:val="009E6A8F"/>
    <w:rPr>
      <w:rFonts w:ascii="Times New Roman" w:eastAsia="Calibri" w:hAnsi="Times New Roman" w:cs="Times New Roman"/>
      <w:sz w:val="24"/>
    </w:rPr>
  </w:style>
  <w:style w:type="paragraph" w:styleId="Footer">
    <w:name w:val="footer"/>
    <w:basedOn w:val="Normal"/>
    <w:link w:val="FooterChar"/>
    <w:uiPriority w:val="99"/>
    <w:unhideWhenUsed/>
    <w:rsid w:val="009E6A8F"/>
    <w:pPr>
      <w:tabs>
        <w:tab w:val="center" w:pos="4680"/>
        <w:tab w:val="right" w:pos="9360"/>
      </w:tabs>
    </w:pPr>
  </w:style>
  <w:style w:type="character" w:customStyle="1" w:styleId="FooterChar">
    <w:name w:val="Footer Char"/>
    <w:basedOn w:val="DefaultParagraphFont"/>
    <w:link w:val="Footer"/>
    <w:uiPriority w:val="99"/>
    <w:rsid w:val="009E6A8F"/>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9E6A8F"/>
    <w:rPr>
      <w:rFonts w:ascii="Tahoma" w:hAnsi="Tahoma" w:cs="Tahoma"/>
      <w:sz w:val="16"/>
      <w:szCs w:val="16"/>
    </w:rPr>
  </w:style>
  <w:style w:type="character" w:customStyle="1" w:styleId="BalloonTextChar">
    <w:name w:val="Balloon Text Char"/>
    <w:basedOn w:val="DefaultParagraphFont"/>
    <w:link w:val="BalloonText"/>
    <w:uiPriority w:val="99"/>
    <w:semiHidden/>
    <w:rsid w:val="009E6A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805862">
      <w:bodyDiv w:val="1"/>
      <w:marLeft w:val="0"/>
      <w:marRight w:val="0"/>
      <w:marTop w:val="0"/>
      <w:marBottom w:val="0"/>
      <w:divBdr>
        <w:top w:val="none" w:sz="0" w:space="0" w:color="auto"/>
        <w:left w:val="none" w:sz="0" w:space="0" w:color="auto"/>
        <w:bottom w:val="none" w:sz="0" w:space="0" w:color="auto"/>
        <w:right w:val="none" w:sz="0" w:space="0" w:color="auto"/>
      </w:divBdr>
    </w:div>
    <w:div w:id="728192210">
      <w:bodyDiv w:val="1"/>
      <w:marLeft w:val="0"/>
      <w:marRight w:val="0"/>
      <w:marTop w:val="0"/>
      <w:marBottom w:val="0"/>
      <w:divBdr>
        <w:top w:val="none" w:sz="0" w:space="0" w:color="auto"/>
        <w:left w:val="none" w:sz="0" w:space="0" w:color="auto"/>
        <w:bottom w:val="none" w:sz="0" w:space="0" w:color="auto"/>
        <w:right w:val="none" w:sz="0" w:space="0" w:color="auto"/>
      </w:divBdr>
    </w:div>
    <w:div w:id="1006518377">
      <w:bodyDiv w:val="1"/>
      <w:marLeft w:val="0"/>
      <w:marRight w:val="0"/>
      <w:marTop w:val="0"/>
      <w:marBottom w:val="0"/>
      <w:divBdr>
        <w:top w:val="none" w:sz="0" w:space="0" w:color="auto"/>
        <w:left w:val="none" w:sz="0" w:space="0" w:color="auto"/>
        <w:bottom w:val="none" w:sz="0" w:space="0" w:color="auto"/>
        <w:right w:val="none" w:sz="0" w:space="0" w:color="auto"/>
      </w:divBdr>
    </w:div>
    <w:div w:id="13858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97197"/>
    <w:rsid w:val="002D4EBB"/>
    <w:rsid w:val="009770BB"/>
    <w:rsid w:val="009F63F2"/>
    <w:rsid w:val="00A641D5"/>
    <w:rsid w:val="00E97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E867ABDA9541AF8A2B2828A18E85C9">
    <w:name w:val="2CE867ABDA9541AF8A2B2828A18E85C9"/>
    <w:rsid w:val="00E97197"/>
  </w:style>
  <w:style w:type="paragraph" w:customStyle="1" w:styleId="786DC3BCB5BD467B9EDA5CC50B653471">
    <w:name w:val="786DC3BCB5BD467B9EDA5CC50B653471"/>
    <w:rsid w:val="00A641D5"/>
  </w:style>
  <w:style w:type="paragraph" w:customStyle="1" w:styleId="9CA4219C51614EFDB0080E289688EA41">
    <w:name w:val="9CA4219C51614EFDB0080E289688EA41"/>
    <w:rsid w:val="00A641D5"/>
  </w:style>
  <w:style w:type="paragraph" w:customStyle="1" w:styleId="FEFF6E86D53B44DBAFB00C93F17AAE5A">
    <w:name w:val="FEFF6E86D53B44DBAFB00C93F17AAE5A"/>
    <w:rsid w:val="00A641D5"/>
  </w:style>
  <w:style w:type="paragraph" w:customStyle="1" w:styleId="84264E84ACB840E29BDD23E259F59CAC">
    <w:name w:val="84264E84ACB840E29BDD23E259F59CAC"/>
    <w:rsid w:val="00A641D5"/>
  </w:style>
  <w:style w:type="paragraph" w:customStyle="1" w:styleId="3D7D95BCFC80416BA86238864FF68400">
    <w:name w:val="3D7D95BCFC80416BA86238864FF68400"/>
    <w:rsid w:val="00A641D5"/>
  </w:style>
  <w:style w:type="paragraph" w:customStyle="1" w:styleId="0E891556D72044F4983E4EB4B76830AA">
    <w:name w:val="0E891556D72044F4983E4EB4B76830AA"/>
    <w:rsid w:val="00A641D5"/>
  </w:style>
  <w:style w:type="paragraph" w:customStyle="1" w:styleId="CD36C04FA4F4440ABD4513CCAD7999D9">
    <w:name w:val="CD36C04FA4F4440ABD4513CCAD7999D9"/>
    <w:rsid w:val="00A641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Washington DC-MD-VA Maintenance Plan</dc:title>
  <dc:creator>Sunil Kumar</dc:creator>
  <cp:lastModifiedBy>Sunil Kumar</cp:lastModifiedBy>
  <cp:revision>12</cp:revision>
  <dcterms:created xsi:type="dcterms:W3CDTF">2012-01-06T21:37:00Z</dcterms:created>
  <dcterms:modified xsi:type="dcterms:W3CDTF">2012-01-09T14:41:00Z</dcterms:modified>
</cp:coreProperties>
</file>