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204D" w14:textId="56C73BEE" w:rsidR="00DA60D6" w:rsidRDefault="00261391" w:rsidP="006551AA">
      <w:pPr>
        <w:jc w:val="center"/>
        <w:rPr>
          <w:rFonts w:ascii="Franklin Gothic Book" w:hAnsi="Franklin Gothic Book"/>
          <w:b/>
          <w:szCs w:val="24"/>
        </w:rPr>
      </w:pPr>
      <w:bookmarkStart w:id="0" w:name="_GoBack"/>
      <w:bookmarkEnd w:id="0"/>
      <w:r>
        <w:rPr>
          <w:rFonts w:ascii="Franklin Gothic Book" w:hAnsi="Franklin Gothic Book"/>
          <w:b/>
          <w:szCs w:val="24"/>
        </w:rPr>
        <w:t>Health Officials Committee</w:t>
      </w:r>
    </w:p>
    <w:p w14:paraId="31FD9453" w14:textId="77777777" w:rsidR="006551AA" w:rsidRDefault="006551AA" w:rsidP="006551AA">
      <w:pPr>
        <w:jc w:val="center"/>
        <w:rPr>
          <w:rFonts w:ascii="Franklin Gothic Book" w:hAnsi="Franklin Gothic Book"/>
          <w:b/>
          <w:szCs w:val="24"/>
        </w:rPr>
      </w:pPr>
    </w:p>
    <w:p w14:paraId="7EEF9D52" w14:textId="5E8D4A10" w:rsidR="006551AA" w:rsidRPr="00261391" w:rsidRDefault="00261391" w:rsidP="006551AA">
      <w:pPr>
        <w:rPr>
          <w:rFonts w:ascii="Franklin Gothic Book" w:hAnsi="Franklin Gothic Book"/>
          <w:i/>
          <w:sz w:val="22"/>
          <w:szCs w:val="22"/>
        </w:rPr>
      </w:pPr>
      <w:r>
        <w:rPr>
          <w:rFonts w:ascii="Franklin Gothic Book" w:hAnsi="Franklin Gothic Book"/>
          <w:b/>
          <w:i/>
          <w:sz w:val="22"/>
          <w:szCs w:val="22"/>
        </w:rPr>
        <w:t>FY16</w:t>
      </w:r>
      <w:r w:rsidR="006551AA">
        <w:rPr>
          <w:rFonts w:ascii="Franklin Gothic Book" w:hAnsi="Franklin Gothic Book"/>
          <w:b/>
          <w:i/>
          <w:sz w:val="22"/>
          <w:szCs w:val="22"/>
        </w:rPr>
        <w:t xml:space="preserve"> Accomplishments:</w:t>
      </w:r>
      <w:r>
        <w:rPr>
          <w:rFonts w:ascii="Franklin Gothic Book" w:hAnsi="Franklin Gothic Book"/>
          <w:b/>
          <w:i/>
          <w:sz w:val="22"/>
          <w:szCs w:val="22"/>
        </w:rPr>
        <w:t xml:space="preserve"> </w:t>
      </w:r>
      <w:r>
        <w:rPr>
          <w:rFonts w:ascii="Franklin Gothic Book" w:hAnsi="Franklin Gothic Book"/>
          <w:i/>
          <w:sz w:val="22"/>
          <w:szCs w:val="22"/>
        </w:rPr>
        <w:t>(July 1, 2015 – June 30, 2016)</w:t>
      </w:r>
    </w:p>
    <w:p w14:paraId="41585435" w14:textId="77777777" w:rsidR="006551AA" w:rsidRDefault="006551AA" w:rsidP="006551AA">
      <w:pPr>
        <w:rPr>
          <w:rFonts w:ascii="Franklin Gothic Book" w:hAnsi="Franklin Gothic Book"/>
          <w:b/>
          <w:i/>
          <w:sz w:val="22"/>
          <w:szCs w:val="22"/>
        </w:rPr>
      </w:pPr>
    </w:p>
    <w:p w14:paraId="044D2B99"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Region Forward Health Indicators Report</w:t>
      </w:r>
    </w:p>
    <w:p w14:paraId="1F8E3126"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The Health Officials partnered with Virginia Commonwealth University (VCU) Center for Society &amp; Health to develop the Regional Health Indicator Report.</w:t>
      </w:r>
    </w:p>
    <w:p w14:paraId="2D004ADC"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Health Indicators will include Life Expectancy and Quality of Life. Quality of Life will be measured by aligning social determinants of health with the 9 Region Forward Goal Areas.  This report will be completed in 2016.</w:t>
      </w:r>
    </w:p>
    <w:p w14:paraId="7F449B68"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Communicable Disease Coordination</w:t>
      </w:r>
    </w:p>
    <w:p w14:paraId="060ADB8C"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Health Officials, epidemiologists, health public information officers, and public health preparedness personnel have met quarterly to enhance the communicable disease coordination across the region.</w:t>
      </w:r>
    </w:p>
    <w:p w14:paraId="69953996"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Drinking Water Coordination</w:t>
      </w:r>
    </w:p>
    <w:p w14:paraId="1CCF2462"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Health Officials have been meeting with drinking water utilities quarterly to enhance the coordination during emergent drinking water events.</w:t>
      </w:r>
    </w:p>
    <w:p w14:paraId="51B384DD"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 xml:space="preserve">Health Officials will host the Water Contamination Tabletop Exercise on March 14.  The exercise will provide an opportunity to discuss multi-agency notification, coordination, and response during a biological contamination event.  Participants will include Health Officers, utilities, EPA, emergency managers, environmental health, and public information officers. </w:t>
      </w:r>
    </w:p>
    <w:p w14:paraId="6EFCF424"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Public Health Workforce Development</w:t>
      </w:r>
    </w:p>
    <w:p w14:paraId="792EEB75"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Health Officers are working to develop a vetted database of trainings that can be utilized across the region to enhance the public health workforce development.</w:t>
      </w:r>
    </w:p>
    <w:p w14:paraId="180BD461"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Health in All Policies</w:t>
      </w:r>
    </w:p>
    <w:p w14:paraId="18DF3DDF"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The Heath Officials hosted a roundtable discussion with the Washington Regional Association of Grantmakers (WRAG), Regional Primary Care Coalition (RPCC), Institute of Public Health Innovation (IPHI), VCU Center on Society and Health, and the National Association of County and City Health Officials (NACCHO) to discuss local and national best practices in implementing Health in All Policies.</w:t>
      </w:r>
    </w:p>
    <w:p w14:paraId="47554311"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2015 Regional Latino Health Disparities Conference</w:t>
      </w:r>
    </w:p>
    <w:p w14:paraId="2CFABFB7"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MWCOG partnered with the George Washington University and the Regional Primary Care Coalition (RPCC) host the Regional Latino Health Disparities Conference in October 2015.</w:t>
      </w:r>
    </w:p>
    <w:p w14:paraId="2A998F79"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More than 200 health officials, policy experts, and community leaders attended to learn more about research, best practices, and policy solutions to strengthen the way the region addresses Latino health disparities.</w:t>
      </w:r>
    </w:p>
    <w:p w14:paraId="6021CD14"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Walter Tejada, vice chairman of the Arlington County Board, Montgomery County Councilmember Nancy Navarro, and Jackie Reyes, Director of the Mayor’s Office of Latino Affairs in the District of Columbia helped to lead the initiative with COG.</w:t>
      </w:r>
    </w:p>
    <w:p w14:paraId="0BC553FB"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Planning has begun for the next conference in October 2016.</w:t>
      </w:r>
    </w:p>
    <w:p w14:paraId="2C338440" w14:textId="77777777" w:rsidR="00261391" w:rsidRPr="00261391" w:rsidRDefault="00261391" w:rsidP="00261391">
      <w:pPr>
        <w:pStyle w:val="ListParagraph"/>
        <w:numPr>
          <w:ilvl w:val="0"/>
          <w:numId w:val="4"/>
        </w:numPr>
        <w:rPr>
          <w:rFonts w:ascii="Franklin Gothic Book" w:hAnsi="Franklin Gothic Book"/>
          <w:sz w:val="22"/>
          <w:szCs w:val="22"/>
          <w:u w:val="single"/>
        </w:rPr>
      </w:pPr>
      <w:r w:rsidRPr="00261391">
        <w:rPr>
          <w:rFonts w:ascii="Franklin Gothic Book" w:hAnsi="Franklin Gothic Book"/>
          <w:sz w:val="22"/>
          <w:szCs w:val="22"/>
          <w:u w:val="single"/>
        </w:rPr>
        <w:t>American College of Preventative Medicine (ACPM) – Public Health Institute</w:t>
      </w:r>
    </w:p>
    <w:p w14:paraId="4F654A57"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COG partnered with ACPM to hold the Public Health Institute at their national conference.  Conference will be on February 24 in Crystal City, VA.</w:t>
      </w:r>
    </w:p>
    <w:p w14:paraId="7BE1C331" w14:textId="77777777" w:rsidR="00261391" w:rsidRPr="00261391" w:rsidRDefault="00261391" w:rsidP="00261391">
      <w:pPr>
        <w:pStyle w:val="ListParagraph"/>
        <w:numPr>
          <w:ilvl w:val="1"/>
          <w:numId w:val="4"/>
        </w:numPr>
        <w:rPr>
          <w:rFonts w:ascii="Franklin Gothic Book" w:hAnsi="Franklin Gothic Book"/>
          <w:sz w:val="22"/>
          <w:szCs w:val="22"/>
        </w:rPr>
      </w:pPr>
      <w:r w:rsidRPr="00261391">
        <w:rPr>
          <w:rFonts w:ascii="Franklin Gothic Book" w:hAnsi="Franklin Gothic Book"/>
          <w:sz w:val="22"/>
          <w:szCs w:val="22"/>
        </w:rPr>
        <w:t>Topics include informatics, public health workforce development, and peer learning from local health officials.</w:t>
      </w:r>
    </w:p>
    <w:p w14:paraId="76C274BF" w14:textId="77777777" w:rsidR="006551AA" w:rsidRDefault="006551AA" w:rsidP="006551AA">
      <w:pPr>
        <w:rPr>
          <w:rFonts w:ascii="Franklin Gothic Book" w:hAnsi="Franklin Gothic Book"/>
          <w:b/>
          <w:i/>
          <w:sz w:val="22"/>
          <w:szCs w:val="22"/>
        </w:rPr>
      </w:pPr>
    </w:p>
    <w:p w14:paraId="35167F0B" w14:textId="77777777" w:rsidR="00261391" w:rsidRDefault="00261391" w:rsidP="006551AA">
      <w:pPr>
        <w:rPr>
          <w:rFonts w:ascii="Franklin Gothic Book" w:hAnsi="Franklin Gothic Book"/>
          <w:b/>
          <w:i/>
          <w:sz w:val="22"/>
          <w:szCs w:val="22"/>
        </w:rPr>
      </w:pPr>
    </w:p>
    <w:p w14:paraId="4D150BE6" w14:textId="774E1970" w:rsidR="006551AA" w:rsidRDefault="00F5276E" w:rsidP="006551AA">
      <w:pPr>
        <w:rPr>
          <w:rFonts w:ascii="Franklin Gothic Book" w:hAnsi="Franklin Gothic Book"/>
          <w:b/>
          <w:i/>
          <w:sz w:val="22"/>
          <w:szCs w:val="22"/>
        </w:rPr>
      </w:pPr>
      <w:r>
        <w:rPr>
          <w:rFonts w:ascii="Franklin Gothic Book" w:hAnsi="Franklin Gothic Book"/>
          <w:b/>
          <w:i/>
          <w:sz w:val="22"/>
          <w:szCs w:val="22"/>
        </w:rPr>
        <w:lastRenderedPageBreak/>
        <w:t>FY17 Workp</w:t>
      </w:r>
      <w:r w:rsidR="006551AA">
        <w:rPr>
          <w:rFonts w:ascii="Franklin Gothic Book" w:hAnsi="Franklin Gothic Book"/>
          <w:b/>
          <w:i/>
          <w:sz w:val="22"/>
          <w:szCs w:val="22"/>
        </w:rPr>
        <w:t>lan Priorities:</w:t>
      </w:r>
      <w:r>
        <w:rPr>
          <w:rFonts w:ascii="Franklin Gothic Book" w:hAnsi="Franklin Gothic Book"/>
          <w:b/>
          <w:i/>
          <w:sz w:val="22"/>
          <w:szCs w:val="22"/>
        </w:rPr>
        <w:t xml:space="preserve"> </w:t>
      </w:r>
      <w:r>
        <w:rPr>
          <w:rFonts w:ascii="Franklin Gothic Book" w:hAnsi="Franklin Gothic Book"/>
          <w:i/>
          <w:sz w:val="22"/>
          <w:szCs w:val="22"/>
        </w:rPr>
        <w:t>(July 1, 2016 – June 30, 2017)</w:t>
      </w:r>
    </w:p>
    <w:p w14:paraId="4BB706A6" w14:textId="77777777" w:rsidR="006551AA" w:rsidRDefault="006551AA" w:rsidP="006551AA">
      <w:pPr>
        <w:rPr>
          <w:rFonts w:ascii="Franklin Gothic Book" w:hAnsi="Franklin Gothic Book"/>
          <w:b/>
          <w:i/>
          <w:sz w:val="22"/>
          <w:szCs w:val="22"/>
        </w:rPr>
      </w:pPr>
    </w:p>
    <w:p w14:paraId="4E4FFAA8" w14:textId="6D4FD5A5" w:rsidR="00261391" w:rsidRPr="00261391" w:rsidRDefault="00261391" w:rsidP="00261391">
      <w:pPr>
        <w:widowControl w:val="0"/>
        <w:autoSpaceDE w:val="0"/>
        <w:autoSpaceDN w:val="0"/>
        <w:adjustRightInd w:val="0"/>
        <w:rPr>
          <w:rFonts w:ascii="Franklin Gothic Book" w:hAnsi="Franklin Gothic Book"/>
          <w:sz w:val="22"/>
          <w:szCs w:val="22"/>
        </w:rPr>
      </w:pPr>
      <w:r w:rsidRPr="00261391">
        <w:rPr>
          <w:rFonts w:ascii="Franklin Gothic Book" w:hAnsi="Franklin Gothic Book"/>
          <w:sz w:val="22"/>
          <w:szCs w:val="22"/>
        </w:rPr>
        <w:t>The Health Officials Committee (HOC) is in the initial stages of developing the FY17 HOC Workplan covering July 1, 2016 – June 30, 2017. The FY17 HOC Workplan, including the deliverables and the relative timeline of implementation, will be distributed to Human Services &amp; Public Safety Policy Committee (HSPSPC) once finalized and approved by the Health Officials.</w:t>
      </w:r>
    </w:p>
    <w:p w14:paraId="4786FDCC" w14:textId="77777777" w:rsidR="006551AA" w:rsidRPr="006551AA" w:rsidRDefault="006551AA" w:rsidP="006551AA">
      <w:pPr>
        <w:pStyle w:val="ListParagraph"/>
        <w:rPr>
          <w:rFonts w:ascii="Franklin Gothic Book" w:hAnsi="Franklin Gothic Book"/>
          <w:b/>
          <w:i/>
          <w:sz w:val="22"/>
          <w:szCs w:val="22"/>
        </w:rPr>
      </w:pPr>
    </w:p>
    <w:p w14:paraId="1B64B56C" w14:textId="77777777" w:rsidR="006551AA" w:rsidRDefault="006551AA" w:rsidP="006551AA">
      <w:pPr>
        <w:rPr>
          <w:rFonts w:ascii="Franklin Gothic Book" w:hAnsi="Franklin Gothic Book"/>
          <w:b/>
          <w:i/>
          <w:sz w:val="22"/>
          <w:szCs w:val="22"/>
        </w:rPr>
      </w:pPr>
    </w:p>
    <w:p w14:paraId="227B349F" w14:textId="77777777" w:rsidR="00261391" w:rsidRPr="00EE3C40" w:rsidRDefault="00261391" w:rsidP="00261391">
      <w:pPr>
        <w:pStyle w:val="2Subhead"/>
        <w:ind w:right="-630"/>
        <w:rPr>
          <w:i/>
          <w:sz w:val="22"/>
        </w:rPr>
      </w:pPr>
      <w:r w:rsidRPr="00EE3C40">
        <w:rPr>
          <w:rFonts w:ascii="Franklin Gothic Book" w:hAnsi="Franklin Gothic Book" w:cs="ITCFranklinGothicStd-Book"/>
          <w:i/>
          <w:caps w:val="0"/>
          <w:sz w:val="20"/>
          <w:szCs w:val="22"/>
        </w:rPr>
        <w:t xml:space="preserve">For further information contact Jennifer Schitter, Principal Health Planner, at 202-962-3266 or </w:t>
      </w:r>
      <w:hyperlink r:id="rId11" w:history="1">
        <w:r w:rsidRPr="00EE3C40">
          <w:rPr>
            <w:rStyle w:val="Hyperlink"/>
            <w:rFonts w:ascii="Franklin Gothic Book" w:hAnsi="Franklin Gothic Book" w:cs="ITCFranklinGothicStd-Book"/>
            <w:i/>
            <w:caps w:val="0"/>
            <w:sz w:val="20"/>
            <w:szCs w:val="22"/>
          </w:rPr>
          <w:t>jschitter@mwcog.org</w:t>
        </w:r>
      </w:hyperlink>
      <w:r w:rsidRPr="00EE3C40">
        <w:rPr>
          <w:rFonts w:ascii="Franklin Gothic Book" w:hAnsi="Franklin Gothic Book" w:cs="ITCFranklinGothicStd-Book"/>
          <w:i/>
          <w:caps w:val="0"/>
          <w:sz w:val="20"/>
          <w:szCs w:val="22"/>
        </w:rPr>
        <w:t>.</w:t>
      </w:r>
    </w:p>
    <w:p w14:paraId="21214AE8" w14:textId="3B14A7EE" w:rsidR="00024F4C" w:rsidRPr="00024F4C" w:rsidRDefault="00024F4C" w:rsidP="00261391">
      <w:pPr>
        <w:rPr>
          <w:rFonts w:ascii="Franklin Gothic Book" w:hAnsi="Franklin Gothic Book"/>
          <w:sz w:val="22"/>
          <w:szCs w:val="22"/>
        </w:rPr>
      </w:pPr>
    </w:p>
    <w:sectPr w:rsidR="00024F4C" w:rsidRPr="00024F4C" w:rsidSect="00024F4C">
      <w:footerReference w:type="even" r:id="rId12"/>
      <w:footerReference w:type="default" r:id="rId13"/>
      <w:headerReference w:type="first" r:id="rId14"/>
      <w:footerReference w:type="first" r:id="rId15"/>
      <w:type w:val="continuous"/>
      <w:pgSz w:w="12240" w:h="15840" w:code="1"/>
      <w:pgMar w:top="2160" w:right="1440"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B9253" w14:textId="77777777" w:rsidR="004C1B31" w:rsidRDefault="004C1B31" w:rsidP="00143CE3">
      <w:r>
        <w:separator/>
      </w:r>
    </w:p>
    <w:p w14:paraId="29896693" w14:textId="77777777" w:rsidR="004C1B31" w:rsidRDefault="004C1B31"/>
    <w:p w14:paraId="1730E8E0" w14:textId="77777777" w:rsidR="004C1B31" w:rsidRDefault="004C1B31"/>
    <w:p w14:paraId="4A629A30" w14:textId="77777777" w:rsidR="004C1B31" w:rsidRDefault="004C1B31"/>
    <w:p w14:paraId="43C201D9" w14:textId="77777777" w:rsidR="004C1B31" w:rsidRDefault="004C1B31"/>
    <w:p w14:paraId="04CDB694" w14:textId="77777777" w:rsidR="004C1B31" w:rsidRDefault="004C1B31"/>
  </w:endnote>
  <w:endnote w:type="continuationSeparator" w:id="0">
    <w:p w14:paraId="158AC25C" w14:textId="77777777" w:rsidR="004C1B31" w:rsidRDefault="004C1B31" w:rsidP="00143CE3">
      <w:r>
        <w:continuationSeparator/>
      </w:r>
    </w:p>
    <w:p w14:paraId="074EF82D" w14:textId="77777777" w:rsidR="004C1B31" w:rsidRDefault="004C1B31"/>
    <w:p w14:paraId="7B938506" w14:textId="77777777" w:rsidR="004C1B31" w:rsidRDefault="004C1B31"/>
    <w:p w14:paraId="65633D99" w14:textId="77777777" w:rsidR="004C1B31" w:rsidRDefault="004C1B31"/>
    <w:p w14:paraId="2B3F11B1" w14:textId="77777777" w:rsidR="004C1B31" w:rsidRDefault="004C1B31"/>
    <w:p w14:paraId="2D96777D" w14:textId="77777777" w:rsidR="004C1B31" w:rsidRDefault="004C1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8"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F72069" w14:textId="77777777" w:rsidR="004D12D7" w:rsidRDefault="00D119C0" w:rsidP="00CB1397">
    <w:sdt>
      <w:sdtPr>
        <w:id w:val="623816800"/>
        <w:temporary/>
        <w:showingPlcHdr/>
      </w:sdtPr>
      <w:sdtEndPr/>
      <w:sdtContent>
        <w:r w:rsidR="004D12D7">
          <w:t>[Type text]</w:t>
        </w:r>
      </w:sdtContent>
    </w:sdt>
    <w:r w:rsidR="004D12D7">
      <w:ptab w:relativeTo="margin" w:alignment="center" w:leader="none"/>
    </w:r>
    <w:sdt>
      <w:sdtPr>
        <w:id w:val="-1286279030"/>
        <w:temporary/>
        <w:showingPlcHdr/>
      </w:sdtPr>
      <w:sdtEndPr/>
      <w:sdtContent>
        <w:r w:rsidR="004D12D7">
          <w:t>[Type text]</w:t>
        </w:r>
      </w:sdtContent>
    </w:sdt>
    <w:r w:rsidR="004D12D7">
      <w:ptab w:relativeTo="margin" w:alignment="right" w:leader="none"/>
    </w:r>
    <w:sdt>
      <w:sdtPr>
        <w:id w:val="1422687779"/>
        <w:temporary/>
        <w:showingPlcHdr/>
      </w:sdtPr>
      <w:sdtEndPr/>
      <w:sdtContent>
        <w:r w:rsidR="004D12D7">
          <w:t>[Type text]</w:t>
        </w:r>
      </w:sdtContent>
    </w:sdt>
  </w:p>
  <w:p w14:paraId="4EF7206A" w14:textId="77777777" w:rsidR="004D12D7" w:rsidRDefault="004D12D7"/>
  <w:p w14:paraId="4EF7206B" w14:textId="77777777" w:rsidR="004D12D7" w:rsidRDefault="004D12D7"/>
  <w:p w14:paraId="4EF7206C" w14:textId="77777777" w:rsidR="004D12D7" w:rsidRDefault="004D12D7"/>
  <w:p w14:paraId="4EF7206D" w14:textId="77777777" w:rsidR="004D12D7" w:rsidRDefault="004D12D7"/>
  <w:p w14:paraId="4EF7206E" w14:textId="77777777" w:rsidR="004D12D7" w:rsidRDefault="004D1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F" w14:textId="77777777" w:rsidR="006F317F" w:rsidRPr="006F317F" w:rsidRDefault="006F317F" w:rsidP="00505A51">
    <w:pPr>
      <w:framePr w:w="432" w:wrap="around" w:vAnchor="text" w:hAnchor="page" w:x="10715" w:y="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D119C0">
      <w:rPr>
        <w:rStyle w:val="COG-PAGENUMBER"/>
        <w:noProof/>
      </w:rPr>
      <w:t>2</w:t>
    </w:r>
    <w:r w:rsidRPr="006F317F">
      <w:rPr>
        <w:rStyle w:val="COG-PAGENUMBER"/>
      </w:rPr>
      <w:fldChar w:fldCharType="end"/>
    </w:r>
  </w:p>
  <w:p w14:paraId="4EF72070" w14:textId="77777777" w:rsidR="004D12D7" w:rsidRPr="006F317F" w:rsidRDefault="006F317F" w:rsidP="006F317F">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4EF72074" wp14:editId="4EF72075">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2" w14:textId="77777777" w:rsidR="004D12D7" w:rsidRPr="002B3ACF" w:rsidRDefault="004D12D7" w:rsidP="00F22B18">
    <w:pPr>
      <w:pStyle w:val="COG-LHAddress"/>
    </w:pPr>
    <w:r w:rsidRPr="002B3ACF">
      <w:t>777 NORTH CAPITOL STREET NE, SUITE 300, WASHINGTON, DC 20002</w:t>
    </w:r>
  </w:p>
  <w:p w14:paraId="4EF72073" w14:textId="77777777" w:rsidR="004D12D7" w:rsidRPr="008D06B6" w:rsidRDefault="004D12D7" w:rsidP="00F22B18">
    <w:pPr>
      <w:pStyle w:val="COG-LHAddress"/>
    </w:pPr>
    <w:r w:rsidRPr="002B3ACF">
      <w:t>MWCOG.</w:t>
    </w:r>
    <w:r w:rsidR="0038189C">
      <w:t>ORG    (202)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C26F" w14:textId="77777777" w:rsidR="004C1B31" w:rsidRDefault="004C1B31" w:rsidP="00143CE3">
      <w:r>
        <w:separator/>
      </w:r>
    </w:p>
    <w:p w14:paraId="1B5C17E2" w14:textId="77777777" w:rsidR="004C1B31" w:rsidRDefault="004C1B31"/>
    <w:p w14:paraId="370D00BC" w14:textId="77777777" w:rsidR="004C1B31" w:rsidRDefault="004C1B31"/>
    <w:p w14:paraId="08E1F8A7" w14:textId="77777777" w:rsidR="004C1B31" w:rsidRDefault="004C1B31"/>
    <w:p w14:paraId="600CD5AA" w14:textId="77777777" w:rsidR="004C1B31" w:rsidRDefault="004C1B31"/>
    <w:p w14:paraId="676DC108" w14:textId="77777777" w:rsidR="004C1B31" w:rsidRDefault="004C1B31"/>
  </w:footnote>
  <w:footnote w:type="continuationSeparator" w:id="0">
    <w:p w14:paraId="461BF7DA" w14:textId="77777777" w:rsidR="004C1B31" w:rsidRDefault="004C1B31" w:rsidP="00143CE3">
      <w:r>
        <w:continuationSeparator/>
      </w:r>
    </w:p>
    <w:p w14:paraId="3A004C53" w14:textId="77777777" w:rsidR="004C1B31" w:rsidRDefault="004C1B31"/>
    <w:p w14:paraId="387CD5BC" w14:textId="77777777" w:rsidR="004C1B31" w:rsidRDefault="004C1B31"/>
    <w:p w14:paraId="28204F03" w14:textId="77777777" w:rsidR="004C1B31" w:rsidRDefault="004C1B31"/>
    <w:p w14:paraId="7A83E507" w14:textId="77777777" w:rsidR="004C1B31" w:rsidRDefault="004C1B31"/>
    <w:p w14:paraId="30F62D90" w14:textId="77777777" w:rsidR="004C1B31" w:rsidRDefault="004C1B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1" w14:textId="77777777" w:rsidR="004D12D7" w:rsidRDefault="004D12D7">
    <w:r>
      <w:rPr>
        <w:noProof/>
        <w:lang w:eastAsia="en-US"/>
      </w:rPr>
      <w:drawing>
        <wp:inline distT="0" distB="0" distL="0" distR="0" wp14:anchorId="4EF72076" wp14:editId="4EF72077">
          <wp:extent cx="2844766" cy="527762"/>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AF3F74"/>
    <w:multiLevelType w:val="hybridMultilevel"/>
    <w:tmpl w:val="0754A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C3023C"/>
    <w:multiLevelType w:val="hybridMultilevel"/>
    <w:tmpl w:val="D9A2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37D51"/>
    <w:multiLevelType w:val="hybridMultilevel"/>
    <w:tmpl w:val="AC34CDEC"/>
    <w:lvl w:ilvl="0" w:tplc="04090005">
      <w:start w:val="1"/>
      <w:numFmt w:val="bullet"/>
      <w:lvlText w:val=""/>
      <w:lvlJc w:val="left"/>
      <w:pPr>
        <w:ind w:left="720" w:hanging="360"/>
      </w:pPr>
      <w:rPr>
        <w:rFonts w:ascii="Wingdings" w:hAnsi="Wingdings" w:hint="default"/>
      </w:rPr>
    </w:lvl>
    <w:lvl w:ilvl="1" w:tplc="3926ED4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683D"/>
    <w:multiLevelType w:val="hybridMultilevel"/>
    <w:tmpl w:val="590E0AD2"/>
    <w:lvl w:ilvl="0" w:tplc="04090001">
      <w:start w:val="1"/>
      <w:numFmt w:val="bullet"/>
      <w:lvlText w:val=""/>
      <w:lvlJc w:val="left"/>
      <w:pPr>
        <w:ind w:left="720" w:hanging="360"/>
      </w:pPr>
      <w:rPr>
        <w:rFonts w:ascii="Symbol" w:hAnsi="Symbol" w:hint="default"/>
      </w:rPr>
    </w:lvl>
    <w:lvl w:ilvl="1" w:tplc="3926ED4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150B"/>
    <w:multiLevelType w:val="hybridMultilevel"/>
    <w:tmpl w:val="29C0F700"/>
    <w:lvl w:ilvl="0" w:tplc="5664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C25DB"/>
    <w:multiLevelType w:val="hybridMultilevel"/>
    <w:tmpl w:val="1E561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94A6FCA"/>
    <w:multiLevelType w:val="hybridMultilevel"/>
    <w:tmpl w:val="BFF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A"/>
    <w:rsid w:val="00016F92"/>
    <w:rsid w:val="00024F4C"/>
    <w:rsid w:val="000645B3"/>
    <w:rsid w:val="00095287"/>
    <w:rsid w:val="00096445"/>
    <w:rsid w:val="00097F42"/>
    <w:rsid w:val="00143CE3"/>
    <w:rsid w:val="00164434"/>
    <w:rsid w:val="00173209"/>
    <w:rsid w:val="00196BFC"/>
    <w:rsid w:val="001B6C4C"/>
    <w:rsid w:val="001C0A03"/>
    <w:rsid w:val="001F556D"/>
    <w:rsid w:val="002143F8"/>
    <w:rsid w:val="00215B05"/>
    <w:rsid w:val="0022636A"/>
    <w:rsid w:val="00237A68"/>
    <w:rsid w:val="00251ED6"/>
    <w:rsid w:val="002544B4"/>
    <w:rsid w:val="00261391"/>
    <w:rsid w:val="00274DAA"/>
    <w:rsid w:val="00281B43"/>
    <w:rsid w:val="002A1975"/>
    <w:rsid w:val="002D77B3"/>
    <w:rsid w:val="003154AA"/>
    <w:rsid w:val="003253C4"/>
    <w:rsid w:val="00381560"/>
    <w:rsid w:val="0038189C"/>
    <w:rsid w:val="003C12EF"/>
    <w:rsid w:val="003F386C"/>
    <w:rsid w:val="004505A6"/>
    <w:rsid w:val="00460309"/>
    <w:rsid w:val="004C1B31"/>
    <w:rsid w:val="004C5BA0"/>
    <w:rsid w:val="004D12D7"/>
    <w:rsid w:val="00501CA7"/>
    <w:rsid w:val="00505A51"/>
    <w:rsid w:val="0053440A"/>
    <w:rsid w:val="00550DB0"/>
    <w:rsid w:val="00583C0A"/>
    <w:rsid w:val="005953E3"/>
    <w:rsid w:val="00596D56"/>
    <w:rsid w:val="005A03A5"/>
    <w:rsid w:val="005A4D0D"/>
    <w:rsid w:val="005D4024"/>
    <w:rsid w:val="005D7644"/>
    <w:rsid w:val="005F18EA"/>
    <w:rsid w:val="005F6D78"/>
    <w:rsid w:val="00612970"/>
    <w:rsid w:val="00617C43"/>
    <w:rsid w:val="00630242"/>
    <w:rsid w:val="00631A75"/>
    <w:rsid w:val="00652152"/>
    <w:rsid w:val="006551AA"/>
    <w:rsid w:val="00671205"/>
    <w:rsid w:val="00681879"/>
    <w:rsid w:val="006A02AB"/>
    <w:rsid w:val="006B0452"/>
    <w:rsid w:val="006B7537"/>
    <w:rsid w:val="006E3D82"/>
    <w:rsid w:val="006F317F"/>
    <w:rsid w:val="00771FEA"/>
    <w:rsid w:val="008152BE"/>
    <w:rsid w:val="008323AD"/>
    <w:rsid w:val="00844812"/>
    <w:rsid w:val="00883A4A"/>
    <w:rsid w:val="008B3E52"/>
    <w:rsid w:val="008C5E18"/>
    <w:rsid w:val="008D06B6"/>
    <w:rsid w:val="008F35E6"/>
    <w:rsid w:val="00915B8B"/>
    <w:rsid w:val="00941350"/>
    <w:rsid w:val="009428C8"/>
    <w:rsid w:val="00972741"/>
    <w:rsid w:val="00A067A2"/>
    <w:rsid w:val="00A14985"/>
    <w:rsid w:val="00A17D3D"/>
    <w:rsid w:val="00A647A2"/>
    <w:rsid w:val="00AB4F8A"/>
    <w:rsid w:val="00B12264"/>
    <w:rsid w:val="00B16715"/>
    <w:rsid w:val="00B35255"/>
    <w:rsid w:val="00B44714"/>
    <w:rsid w:val="00B741B2"/>
    <w:rsid w:val="00C45E55"/>
    <w:rsid w:val="00C97BCC"/>
    <w:rsid w:val="00CB1397"/>
    <w:rsid w:val="00D04D2A"/>
    <w:rsid w:val="00D119C0"/>
    <w:rsid w:val="00D219A4"/>
    <w:rsid w:val="00D32BDD"/>
    <w:rsid w:val="00D34639"/>
    <w:rsid w:val="00D41AFC"/>
    <w:rsid w:val="00D41F3A"/>
    <w:rsid w:val="00D5320B"/>
    <w:rsid w:val="00D60158"/>
    <w:rsid w:val="00D668FD"/>
    <w:rsid w:val="00DA1338"/>
    <w:rsid w:val="00DA60D6"/>
    <w:rsid w:val="00DB19F1"/>
    <w:rsid w:val="00DC6A0A"/>
    <w:rsid w:val="00DD6E61"/>
    <w:rsid w:val="00DF1845"/>
    <w:rsid w:val="00E01DDE"/>
    <w:rsid w:val="00E06C90"/>
    <w:rsid w:val="00E24F47"/>
    <w:rsid w:val="00E351D1"/>
    <w:rsid w:val="00E559D4"/>
    <w:rsid w:val="00E61F33"/>
    <w:rsid w:val="00E9071B"/>
    <w:rsid w:val="00E960A7"/>
    <w:rsid w:val="00EB3D82"/>
    <w:rsid w:val="00EC5C70"/>
    <w:rsid w:val="00EC7167"/>
    <w:rsid w:val="00EF2F89"/>
    <w:rsid w:val="00F16E24"/>
    <w:rsid w:val="00F17840"/>
    <w:rsid w:val="00F22B18"/>
    <w:rsid w:val="00F451E1"/>
    <w:rsid w:val="00F4664B"/>
    <w:rsid w:val="00F5276E"/>
    <w:rsid w:val="00F52CF6"/>
    <w:rsid w:val="00F61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EF72029"/>
  <w15:docId w15:val="{75F2236A-EC6D-48E7-9D7C-66F1913A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B3"/>
    <w:rPr>
      <w:sz w:val="24"/>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3COG-Recipient2ndPage">
    <w:name w:val="3) COG-Recipient 2nd Page"/>
    <w:autoRedefin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COG-LetterheadParagraph">
    <w:name w:val="1) COG-Letterhead Paragraph"/>
    <w:autoRedefine/>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qFormat/>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COG-LetterheadParagraph"/>
    <w:next w:val="1COG-LetterheadParagraph"/>
    <w:autoRedefine/>
    <w:qFormat/>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autoRedefine/>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D04D2A"/>
    <w:rPr>
      <w:rFonts w:ascii="Franklin Gothic Book" w:hAnsi="Franklin Gothic Book" w:cs="ITCFranklinGothicStd-Book"/>
      <w:color w:val="000000" w:themeColor="text1"/>
      <w:sz w:val="22"/>
      <w:szCs w:val="22"/>
    </w:rPr>
  </w:style>
  <w:style w:type="paragraph" w:customStyle="1" w:styleId="2Recipient2ndPage">
    <w:name w:val="2) Recipient 2nd Page"/>
    <w:qFormat/>
    <w:rsid w:val="00D04D2A"/>
    <w:pPr>
      <w:spacing w:before="240"/>
      <w:contextualSpacing/>
    </w:pPr>
    <w:rPr>
      <w:rFonts w:ascii="Franklin Gothic Book" w:hAnsi="Franklin Gothic Book" w:cs="ITCFranklinGothicStd-Book"/>
      <w:color w:val="000000" w:themeColor="text1"/>
    </w:rPr>
  </w:style>
  <w:style w:type="paragraph" w:styleId="ListParagraph">
    <w:name w:val="List Paragraph"/>
    <w:basedOn w:val="Normal"/>
    <w:uiPriority w:val="34"/>
    <w:qFormat/>
    <w:rsid w:val="006551AA"/>
    <w:pPr>
      <w:ind w:left="720"/>
      <w:contextualSpacing/>
    </w:pPr>
  </w:style>
  <w:style w:type="paragraph" w:customStyle="1" w:styleId="3Paragraph">
    <w:name w:val="3) Paragraph"/>
    <w:qFormat/>
    <w:rsid w:val="00261391"/>
    <w:pPr>
      <w:tabs>
        <w:tab w:val="left" w:pos="432"/>
      </w:tabs>
    </w:pPr>
    <w:rPr>
      <w:rFonts w:ascii="Franklin Gothic Book" w:hAnsi="Franklin Gothic Book" w:cs="ITCFranklinGothicStd-Book"/>
      <w:color w:val="000000" w:themeColor="text1"/>
      <w:sz w:val="22"/>
      <w:szCs w:val="22"/>
    </w:rPr>
  </w:style>
  <w:style w:type="paragraph" w:customStyle="1" w:styleId="2Subhead">
    <w:name w:val="2) Subhead"/>
    <w:next w:val="3Paragraph"/>
    <w:qFormat/>
    <w:rsid w:val="00261391"/>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character" w:styleId="Hyperlink">
    <w:name w:val="Hyperlink"/>
    <w:basedOn w:val="DefaultParagraphFont"/>
    <w:uiPriority w:val="99"/>
    <w:unhideWhenUsed/>
    <w:rsid w:val="00261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chitter@mwcog.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odman\AppData\Local\Microsoft\Windows\Temporary%20Internet%20Files\Content.Outlook\0P1PZ39F\COG%20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1be48a909ddfeaeda596b33313b405b9">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bdf72c154864c02b9018f857ede7e71d"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E93F-D9C8-4CB5-831F-DF0A7FD6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DB898-8785-4068-B032-AF43E2E44CF4}">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c7a5a329-1933-4218-bc33-c5d87197e18d"/>
    <ds:schemaRef ds:uri="http://schemas.microsoft.com/office/2006/metadata/properties"/>
  </ds:schemaRefs>
</ds:datastoreItem>
</file>

<file path=customXml/itemProps3.xml><?xml version="1.0" encoding="utf-8"?>
<ds:datastoreItem xmlns:ds="http://schemas.openxmlformats.org/officeDocument/2006/customXml" ds:itemID="{3BF1DEB5-197E-40C4-8B7B-4E0DB6D58AB0}">
  <ds:schemaRefs>
    <ds:schemaRef ds:uri="http://schemas.microsoft.com/sharepoint/v3/contenttype/forms"/>
  </ds:schemaRefs>
</ds:datastoreItem>
</file>

<file path=customXml/itemProps4.xml><?xml version="1.0" encoding="utf-8"?>
<ds:datastoreItem xmlns:ds="http://schemas.openxmlformats.org/officeDocument/2006/customXml" ds:itemID="{6E50BDC0-3C03-4009-82D9-624134C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Letterhead 10</Template>
  <TotalTime>1</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COG Letterhead Template</vt:lpstr>
    </vt:vector>
  </TitlesOfParts>
  <Company>Lloyd Greenberg Design LLC</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 Template</dc:title>
  <dc:subject/>
  <dc:creator>Megan Goodman</dc:creator>
  <cp:keywords/>
  <dc:description/>
  <cp:lastModifiedBy>Rita Greene</cp:lastModifiedBy>
  <cp:revision>2</cp:revision>
  <cp:lastPrinted>2015-09-10T14:53:00Z</cp:lastPrinted>
  <dcterms:created xsi:type="dcterms:W3CDTF">2016-02-16T17:41:00Z</dcterms:created>
  <dcterms:modified xsi:type="dcterms:W3CDTF">2016-02-16T17:41:00Z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