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FEFB" w14:textId="77777777" w:rsidR="00AA44F5" w:rsidRDefault="00AA44F5">
      <w:r>
        <w:t>SLIDE 1 – TITLE PAGE</w:t>
      </w:r>
    </w:p>
    <w:p w14:paraId="4AFCFCD7" w14:textId="5953F621" w:rsidR="00AA44F5" w:rsidRDefault="00AA44F5">
      <w:r>
        <w:t>TPB PARTICIPATION PLAN: 2020 Update</w:t>
      </w:r>
      <w:r>
        <w:br/>
        <w:t>Bryan Hayes, TPB Transportation Planner</w:t>
      </w:r>
      <w:r>
        <w:br/>
        <w:t>Access for All Advisory Committee</w:t>
      </w:r>
      <w:r>
        <w:br/>
        <w:t>June 2, 2020</w:t>
      </w:r>
    </w:p>
    <w:p w14:paraId="05163E70" w14:textId="77777777" w:rsidR="00AC7D2D" w:rsidRDefault="00AC7D2D"/>
    <w:p w14:paraId="667C9C38" w14:textId="77777777" w:rsidR="00AA44F5" w:rsidRDefault="00AA44F5">
      <w:r>
        <w:t>SLIDE 2 – Participation Plan Purpose</w:t>
      </w:r>
    </w:p>
    <w:p w14:paraId="5582018F" w14:textId="1ECD19DB" w:rsidR="00AA44F5" w:rsidRDefault="00AA44F5" w:rsidP="00AA44F5">
      <w:r w:rsidRPr="00AA44F5">
        <w:t>The TPB’s Participation Plan guides TPB staff interactions with the public so that they can:</w:t>
      </w:r>
      <w:r>
        <w:t xml:space="preserve"> 1) r</w:t>
      </w:r>
      <w:r w:rsidRPr="00AA44F5">
        <w:t>each as many people as inclusively as possible, and</w:t>
      </w:r>
      <w:r>
        <w:t xml:space="preserve"> 2) c</w:t>
      </w:r>
      <w:r w:rsidRPr="00AA44F5">
        <w:t>ollect meaningful input and build support to inform TPB plans, programs, and aid in decision making.</w:t>
      </w:r>
    </w:p>
    <w:p w14:paraId="7FECA841" w14:textId="3D65A486" w:rsidR="00AC7D2D" w:rsidRDefault="00AC7D2D" w:rsidP="00AA44F5">
      <w:r>
        <w:t>NOTE: This presentation includes draft language for the 2020 Participation Plan update. Language may change based on input from the AFA and other groups.</w:t>
      </w:r>
    </w:p>
    <w:p w14:paraId="7F658AD5" w14:textId="77777777" w:rsidR="00AC7D2D" w:rsidRDefault="00AC7D2D" w:rsidP="00AA44F5"/>
    <w:p w14:paraId="421C047B" w14:textId="5ACF50FC" w:rsidR="003F6D46" w:rsidRDefault="00AA44F5" w:rsidP="00AA44F5">
      <w:r>
        <w:t>SLIDE 3 – Past Participation Plans</w:t>
      </w:r>
    </w:p>
    <w:p w14:paraId="5619771C" w14:textId="77777777" w:rsidR="009653AE" w:rsidRDefault="00AA44F5" w:rsidP="00AA44F5">
      <w:r>
        <w:t>The TPB approved its first Participation Plan in 2007.</w:t>
      </w:r>
    </w:p>
    <w:p w14:paraId="6C9C2CA9" w14:textId="31D511D2" w:rsidR="00AA44F5" w:rsidRDefault="00AA44F5" w:rsidP="00AA44F5">
      <w:r>
        <w:t>An update to the plan was improved in 2014. This plan update clarified the goals and incorporated new participation activities.</w:t>
      </w:r>
    </w:p>
    <w:p w14:paraId="0E45D6BD" w14:textId="280C748E" w:rsidR="009653AE" w:rsidRDefault="009653AE" w:rsidP="00AA44F5">
      <w:r>
        <w:t>This slide displays a picture of the cover for each plan.</w:t>
      </w:r>
    </w:p>
    <w:p w14:paraId="3E6A45DB" w14:textId="77777777" w:rsidR="00AA44F5" w:rsidRDefault="00AA44F5" w:rsidP="00AA44F5"/>
    <w:p w14:paraId="0E06C325" w14:textId="77777777" w:rsidR="00AA44F5" w:rsidRDefault="00AA44F5" w:rsidP="00AA44F5">
      <w:r>
        <w:t>SLIDE 4 – Proposed Changes for the 2020 Update</w:t>
      </w:r>
    </w:p>
    <w:p w14:paraId="34791B17" w14:textId="77777777" w:rsidR="00AA44F5" w:rsidRDefault="00AA44F5" w:rsidP="00C669C1">
      <w:pPr>
        <w:numPr>
          <w:ilvl w:val="0"/>
          <w:numId w:val="2"/>
        </w:numPr>
      </w:pPr>
      <w:r w:rsidRPr="00AA44F5">
        <w:t>Clarify the purpose of public participation in the TPB process</w:t>
      </w:r>
    </w:p>
    <w:p w14:paraId="2511011F" w14:textId="77777777" w:rsidR="00AA44F5" w:rsidRPr="00AA44F5" w:rsidRDefault="00AA44F5" w:rsidP="00C669C1">
      <w:pPr>
        <w:numPr>
          <w:ilvl w:val="0"/>
          <w:numId w:val="2"/>
        </w:numPr>
      </w:pPr>
      <w:r w:rsidRPr="00AA44F5">
        <w:t>Clarify the purpose of the participation plan</w:t>
      </w:r>
    </w:p>
    <w:p w14:paraId="1864CBD8" w14:textId="77777777" w:rsidR="00AA44F5" w:rsidRPr="00AA44F5" w:rsidRDefault="00AA44F5" w:rsidP="00AA44F5">
      <w:pPr>
        <w:numPr>
          <w:ilvl w:val="0"/>
          <w:numId w:val="2"/>
        </w:numPr>
      </w:pPr>
      <w:r w:rsidRPr="00AA44F5">
        <w:t>Explain how the TPB’s participation activities target different constituencies</w:t>
      </w:r>
    </w:p>
    <w:p w14:paraId="6DECDF2E" w14:textId="77777777" w:rsidR="00AA44F5" w:rsidRPr="00AA44F5" w:rsidRDefault="00AA44F5" w:rsidP="00AA44F5">
      <w:pPr>
        <w:numPr>
          <w:ilvl w:val="0"/>
          <w:numId w:val="2"/>
        </w:numPr>
      </w:pPr>
      <w:r w:rsidRPr="00AA44F5">
        <w:t>Enhance evaluation activities</w:t>
      </w:r>
    </w:p>
    <w:p w14:paraId="333ACD04" w14:textId="77777777" w:rsidR="00AA44F5" w:rsidRPr="00AA44F5" w:rsidRDefault="00AA44F5" w:rsidP="00AA44F5">
      <w:pPr>
        <w:numPr>
          <w:ilvl w:val="0"/>
          <w:numId w:val="2"/>
        </w:numPr>
      </w:pPr>
      <w:r w:rsidRPr="00AA44F5">
        <w:t>Remove operational details regarding TPB advisory committees</w:t>
      </w:r>
    </w:p>
    <w:p w14:paraId="71D7DC1B" w14:textId="77777777" w:rsidR="00AA44F5" w:rsidRPr="00AA44F5" w:rsidRDefault="00AA44F5" w:rsidP="00AA44F5">
      <w:pPr>
        <w:numPr>
          <w:ilvl w:val="0"/>
          <w:numId w:val="2"/>
        </w:numPr>
      </w:pPr>
      <w:r w:rsidRPr="00AA44F5">
        <w:t>More explicitly tie in Title VI requirements</w:t>
      </w:r>
    </w:p>
    <w:p w14:paraId="0123E6DB" w14:textId="77777777" w:rsidR="00AA44F5" w:rsidRPr="00AA44F5" w:rsidRDefault="00AA44F5" w:rsidP="00AA44F5">
      <w:pPr>
        <w:numPr>
          <w:ilvl w:val="0"/>
          <w:numId w:val="2"/>
        </w:numPr>
      </w:pPr>
      <w:r w:rsidRPr="00AA44F5">
        <w:t>Ensure TPB meets federal metropolitan planning requirements</w:t>
      </w:r>
    </w:p>
    <w:p w14:paraId="595C1A87" w14:textId="77777777" w:rsidR="00AA44F5" w:rsidRDefault="00AA44F5" w:rsidP="00AA44F5"/>
    <w:p w14:paraId="3D728503" w14:textId="77777777" w:rsidR="00AA44F5" w:rsidRDefault="00AA44F5" w:rsidP="00AA44F5">
      <w:r>
        <w:t>SLIDE 5 – Focus on the Participation Policy</w:t>
      </w:r>
    </w:p>
    <w:p w14:paraId="40C05393" w14:textId="109F6380" w:rsidR="00D852DD" w:rsidRPr="00D852DD" w:rsidRDefault="00D852DD" w:rsidP="00D852DD">
      <w:r w:rsidRPr="00D852DD">
        <w:t xml:space="preserve">This presentation will focus on the Participation Policy. This includes the policy statement, policy principles, policy goals, and policy constituents. </w:t>
      </w:r>
    </w:p>
    <w:p w14:paraId="3D8E7263" w14:textId="77777777" w:rsidR="00856615" w:rsidRDefault="00D852DD" w:rsidP="00D852DD">
      <w:r w:rsidRPr="00D852DD">
        <w:t xml:space="preserve">Seeking AFA input on two questions: </w:t>
      </w:r>
    </w:p>
    <w:p w14:paraId="504262DF" w14:textId="7589ABBD" w:rsidR="00856615" w:rsidRDefault="00D852DD" w:rsidP="00D852DD">
      <w:r w:rsidRPr="00D852DD">
        <w:t>Are the goals, principals, and constituencies serve as a good foundation for making sure that our participation activities are inclusive?</w:t>
      </w:r>
    </w:p>
    <w:p w14:paraId="6BCAC343" w14:textId="7D195798" w:rsidR="00AA44F5" w:rsidRDefault="00D852DD" w:rsidP="00D852DD">
      <w:r w:rsidRPr="00D852DD">
        <w:t>Does the guidance on how the public can get involve address the concerns and perspectives of the AFA.</w:t>
      </w:r>
    </w:p>
    <w:p w14:paraId="72F9A090" w14:textId="77777777" w:rsidR="00D852DD" w:rsidRDefault="00D852DD" w:rsidP="00D852DD"/>
    <w:p w14:paraId="5CB1E24A" w14:textId="77777777" w:rsidR="00AA44F5" w:rsidRDefault="00AA44F5" w:rsidP="00AA44F5">
      <w:r>
        <w:t>SLIDE 6 – Policy Statement</w:t>
      </w:r>
    </w:p>
    <w:p w14:paraId="2F4321F3" w14:textId="77777777" w:rsidR="00AA44F5" w:rsidRPr="00AA44F5" w:rsidRDefault="00AA44F5" w:rsidP="00AA44F5">
      <w:r w:rsidRPr="00AA44F5">
        <w:t>It is the policy of the TPB to provide public access and involvement under a collaborative planning process in which the interests of all stakeholders are reflected and considered. It is the TPB's intent to make both its policy and technical processes inclusive of and accessible to all stakeholders.</w:t>
      </w:r>
    </w:p>
    <w:p w14:paraId="3D7A44CA" w14:textId="77777777" w:rsidR="00AA44F5" w:rsidRDefault="00AA44F5"/>
    <w:p w14:paraId="16ADC73C" w14:textId="77777777" w:rsidR="00AA44F5" w:rsidRDefault="00AA44F5">
      <w:r>
        <w:t xml:space="preserve">SLIDE 7 </w:t>
      </w:r>
      <w:r w:rsidR="009C6632">
        <w:t>–</w:t>
      </w:r>
      <w:r>
        <w:t xml:space="preserve"> </w:t>
      </w:r>
      <w:r w:rsidR="009C6632">
        <w:t>Policy Principles</w:t>
      </w:r>
    </w:p>
    <w:p w14:paraId="093CF287" w14:textId="77777777" w:rsidR="00546C56" w:rsidRPr="00546C56" w:rsidRDefault="00546C56" w:rsidP="00546C56">
      <w:r w:rsidRPr="00546C56">
        <w:t>The policy principles articulate TPB values around informing and engaging the public. These principles guide engagement and point toward goals, without specifying the goals or the means to achieve them.</w:t>
      </w:r>
    </w:p>
    <w:p w14:paraId="0230E15D" w14:textId="67C65179" w:rsidR="00546C56" w:rsidRPr="00546C56" w:rsidRDefault="00546C56" w:rsidP="00546C56">
      <w:r w:rsidRPr="00546C56">
        <w:rPr>
          <w:b/>
          <w:bCs/>
        </w:rPr>
        <w:t>Equity Perspective</w:t>
      </w:r>
      <w:r w:rsidRPr="00546C56">
        <w:t xml:space="preserve"> - Staff strive to incorporate an equity perspective into their work activities so that work acknowledges and seeks to accommodate different contexts</w:t>
      </w:r>
      <w:r w:rsidR="00B3488D">
        <w:t xml:space="preserve">, experiences, and abilities. </w:t>
      </w:r>
    </w:p>
    <w:p w14:paraId="284268BB" w14:textId="6DD56425" w:rsidR="00546C56" w:rsidRPr="00546C56" w:rsidRDefault="00546C56" w:rsidP="00546C56">
      <w:r w:rsidRPr="00546C56">
        <w:rPr>
          <w:b/>
          <w:bCs/>
        </w:rPr>
        <w:t>Plain Language</w:t>
      </w:r>
      <w:r w:rsidRPr="00546C56">
        <w:t xml:space="preserve"> – TPB Staff strive to use plain language </w:t>
      </w:r>
      <w:bookmarkStart w:id="0" w:name="_GoBack"/>
      <w:bookmarkEnd w:id="0"/>
      <w:r w:rsidRPr="00546C56">
        <w:t>so that their work is accessible to as many people as possible.</w:t>
      </w:r>
    </w:p>
    <w:p w14:paraId="16B88D67" w14:textId="051C9023" w:rsidR="00546C56" w:rsidRDefault="00546C56" w:rsidP="00546C56">
      <w:r w:rsidRPr="00546C56">
        <w:rPr>
          <w:b/>
          <w:bCs/>
        </w:rPr>
        <w:t>Early and Ongoing Participation</w:t>
      </w:r>
      <w:r w:rsidRPr="00546C56">
        <w:t xml:space="preserve"> - Staff strive to involve the public early in planning processes to maximize impact of public input. Staff also strive to involve the public throughout processes to create repeat interactions with the public. </w:t>
      </w:r>
    </w:p>
    <w:p w14:paraId="33D2329C" w14:textId="21EC49DF" w:rsidR="0021011B" w:rsidRDefault="0021011B" w:rsidP="00546C56"/>
    <w:p w14:paraId="00DAB73C" w14:textId="22288055" w:rsidR="0021011B" w:rsidRDefault="0021011B" w:rsidP="00546C56">
      <w:r>
        <w:t>SLIDE 8 – Policy Principles, continued</w:t>
      </w:r>
    </w:p>
    <w:p w14:paraId="46217800" w14:textId="77777777" w:rsidR="007118F2" w:rsidRPr="007118F2" w:rsidRDefault="007118F2" w:rsidP="007118F2">
      <w:r w:rsidRPr="007118F2">
        <w:rPr>
          <w:b/>
          <w:bCs/>
        </w:rPr>
        <w:t>Timely Response</w:t>
      </w:r>
      <w:r w:rsidRPr="007118F2">
        <w:t xml:space="preserve"> - Staff strive to acknowledge receipt of public input in a timely manner and provide information about how that input will be used. This will build trust by demonstrating the value of input.</w:t>
      </w:r>
    </w:p>
    <w:p w14:paraId="0D0578A9" w14:textId="77777777" w:rsidR="007118F2" w:rsidRPr="007118F2" w:rsidRDefault="007118F2" w:rsidP="007118F2">
      <w:r w:rsidRPr="007118F2">
        <w:rPr>
          <w:b/>
          <w:bCs/>
        </w:rPr>
        <w:t>Clarity of Purpose</w:t>
      </w:r>
      <w:r w:rsidRPr="007118F2">
        <w:t xml:space="preserve"> – TPB staff strive for clarity of purpose when planning public facing work. This will help staff determine if the work is meant to inform, consult, or engage the public. This will also help the public understand their role in the TPB plan or activity and how their input will be used.</w:t>
      </w:r>
    </w:p>
    <w:p w14:paraId="06D0056A" w14:textId="7F2328D3" w:rsidR="007118F2" w:rsidRDefault="007118F2" w:rsidP="00546C56"/>
    <w:p w14:paraId="02E214A7" w14:textId="7B7FBE89" w:rsidR="007B16F2" w:rsidRDefault="007B16F2" w:rsidP="00546C56">
      <w:r>
        <w:t>SLIDE 9 – Policy Goals</w:t>
      </w:r>
    </w:p>
    <w:p w14:paraId="109A487A" w14:textId="77777777" w:rsidR="0012486F" w:rsidRPr="0012486F" w:rsidRDefault="0012486F" w:rsidP="0012486F">
      <w:r w:rsidRPr="0012486F">
        <w:t>The policy goals describe what the TPB is trying to achieve through its participation activities. Goals are measurable and demonstrate staff effectiveness towards fulfilling the principles.</w:t>
      </w:r>
    </w:p>
    <w:p w14:paraId="09DB1916" w14:textId="77777777" w:rsidR="0012486F" w:rsidRPr="0012486F" w:rsidRDefault="0012486F" w:rsidP="0012486F">
      <w:r w:rsidRPr="0012486F">
        <w:rPr>
          <w:i/>
          <w:iCs/>
        </w:rPr>
        <w:t>Communicate effectively with appropriate audiences</w:t>
      </w:r>
      <w:r w:rsidRPr="0012486F">
        <w:t xml:space="preserve">. The TPB will disseminate information about programs and projects through a variety of conduits. Information will be presented in a manner that is clear and tailored to each of the TPB’s constituencies. </w:t>
      </w:r>
    </w:p>
    <w:p w14:paraId="355E0D47" w14:textId="77777777" w:rsidR="0012486F" w:rsidRPr="0012486F" w:rsidRDefault="0012486F" w:rsidP="0012486F">
      <w:r w:rsidRPr="0012486F">
        <w:rPr>
          <w:i/>
          <w:iCs/>
        </w:rPr>
        <w:t>Provide clear and open access to information and participation opportunities</w:t>
      </w:r>
      <w:r w:rsidRPr="0012486F">
        <w:t xml:space="preserve">. The TPB will work to improve access to technical and planning documents and, where appropriate, tailor these documents to be accessible to more constituencies. Opportunities for participation in TPB meetings and in committee meetings will be clearly defined and provided for at each meeting. </w:t>
      </w:r>
    </w:p>
    <w:p w14:paraId="6EBD844E" w14:textId="3163D194" w:rsidR="0012486F" w:rsidRDefault="0012486F" w:rsidP="00546C56"/>
    <w:p w14:paraId="5D6BE8B1" w14:textId="6924B500" w:rsidR="00C61B04" w:rsidRDefault="00C61B04" w:rsidP="00546C56">
      <w:r>
        <w:t>SLIDE 10 – Policy Goals, continued</w:t>
      </w:r>
    </w:p>
    <w:p w14:paraId="16A42559" w14:textId="77777777" w:rsidR="00C61B04" w:rsidRPr="00C61B04" w:rsidRDefault="00C61B04" w:rsidP="00C61B04">
      <w:r w:rsidRPr="00C61B04">
        <w:rPr>
          <w:i/>
          <w:iCs/>
        </w:rPr>
        <w:t xml:space="preserve">Gather input from diverse perspectives. </w:t>
      </w:r>
      <w:r w:rsidRPr="00C61B04">
        <w:t>The TPB will continue to encourage participation from diverse constituencies and to provide forums for discussion about transportation issues that are responsive to the interests of different constituencies.</w:t>
      </w:r>
    </w:p>
    <w:p w14:paraId="32397B42" w14:textId="77777777" w:rsidR="00C61B04" w:rsidRPr="00C61B04" w:rsidRDefault="00C61B04" w:rsidP="00C61B04">
      <w:r w:rsidRPr="00C61B04">
        <w:rPr>
          <w:i/>
          <w:iCs/>
        </w:rPr>
        <w:t>Respond meaningfully to public comment and feedback</w:t>
      </w:r>
      <w:r w:rsidRPr="00C61B04">
        <w:t>. The TPB will provide information on how comments will be considered in the planning process, including the development of Visualize 2045 and TIP, and acknowledge the comments that were received and considered.</w:t>
      </w:r>
    </w:p>
    <w:p w14:paraId="623A6818" w14:textId="77777777" w:rsidR="00C61B04" w:rsidRPr="00C61B04" w:rsidRDefault="00C61B04" w:rsidP="00C61B04">
      <w:r w:rsidRPr="00C61B04">
        <w:rPr>
          <w:i/>
          <w:iCs/>
        </w:rPr>
        <w:t>Promote a regional perspective</w:t>
      </w:r>
      <w:r w:rsidRPr="00C61B04">
        <w:t>. The TPB will communicate how regional transportation planning plays a vital role in coordinating planning activities on many levels. The TPB will also work to connect the public to where their input can have the biggest impact, which is often on the local level.</w:t>
      </w:r>
    </w:p>
    <w:p w14:paraId="4040A302" w14:textId="4CDFFBD2" w:rsidR="00C61B04" w:rsidRDefault="00C61B04" w:rsidP="00546C56"/>
    <w:p w14:paraId="47CC8B2B" w14:textId="2A029162" w:rsidR="00C61B04" w:rsidRDefault="00324B0E" w:rsidP="00546C56">
      <w:r>
        <w:t>SLIDE 11 – Policy Constituents</w:t>
      </w:r>
    </w:p>
    <w:p w14:paraId="655730CE" w14:textId="77777777" w:rsidR="00324B0E" w:rsidRPr="00324B0E" w:rsidRDefault="00324B0E" w:rsidP="00324B0E">
      <w:r w:rsidRPr="00324B0E">
        <w:t>Every person who lives in the Washington region is impacted by transportation. The TPB acknowledges that not every person is aware of the TPB or has an understanding for how decisions are made at the regional, state, and local levels.</w:t>
      </w:r>
    </w:p>
    <w:p w14:paraId="5CF830EA" w14:textId="77777777" w:rsidR="00324B0E" w:rsidRPr="00324B0E" w:rsidRDefault="00324B0E" w:rsidP="00324B0E">
      <w:r w:rsidRPr="00324B0E">
        <w:t>To make sure that TPB participation efforts are most effective, it is important to tailor the communications and outreach to different constituencies. These three constituencies are grouped according to varying levels of engagement in regional transportation planning process and awareness of regional transportation issues.</w:t>
      </w:r>
    </w:p>
    <w:p w14:paraId="3879784B" w14:textId="77777777" w:rsidR="00324B0E" w:rsidRPr="00324B0E" w:rsidRDefault="00324B0E" w:rsidP="00324B0E">
      <w:r w:rsidRPr="00324B0E">
        <w:t>The three groups of constituents are: active stakeholders, community leaders, and the general public.</w:t>
      </w:r>
    </w:p>
    <w:p w14:paraId="3F902B94" w14:textId="5B7F68DF" w:rsidR="00324B0E" w:rsidRDefault="00324B0E" w:rsidP="00546C56"/>
    <w:p w14:paraId="41E72221" w14:textId="4A903052" w:rsidR="00324B0E" w:rsidRDefault="00324B0E" w:rsidP="00546C56">
      <w:r>
        <w:t>SLIDE 12 – Policy Constituents, continued</w:t>
      </w:r>
    </w:p>
    <w:p w14:paraId="3067777B" w14:textId="3FE31AF3" w:rsidR="00FE6621" w:rsidRPr="00FE6621" w:rsidRDefault="00FE6621" w:rsidP="00FE6621">
      <w:r w:rsidRPr="00FE6621">
        <w:rPr>
          <w:b/>
          <w:bCs/>
          <w:i/>
          <w:iCs/>
        </w:rPr>
        <w:t xml:space="preserve">Active stakeholders </w:t>
      </w:r>
      <w:r w:rsidRPr="00FE6621">
        <w:t>are both knowledgeable about transportation policy issues in general, as well as the TPB’s role in the regional transportation planning process. These individuals and organizations already actively participate in the TPB process and have an extensive understanding of regional transportation issues and policy. Among others, this category includes the TPB’s Citizens Advisory Committee (CAC) and the Access for All (AFA) Advisory Committee.</w:t>
      </w:r>
    </w:p>
    <w:p w14:paraId="0C5F80FB" w14:textId="19942214" w:rsidR="00FE6621" w:rsidRPr="00FE6621" w:rsidRDefault="00FE6621" w:rsidP="00FE6621">
      <w:r w:rsidRPr="00FE6621">
        <w:rPr>
          <w:b/>
          <w:bCs/>
          <w:i/>
          <w:iCs/>
        </w:rPr>
        <w:t xml:space="preserve">Community leaders </w:t>
      </w:r>
      <w:r w:rsidRPr="00FE6621">
        <w:t xml:space="preserve">have some knowledge of transportation policy </w:t>
      </w:r>
      <w:r w:rsidR="003F7B17" w:rsidRPr="00FE6621">
        <w:t>issues but</w:t>
      </w:r>
      <w:r w:rsidRPr="00FE6621">
        <w:t xml:space="preserve"> </w:t>
      </w:r>
      <w:r w:rsidR="003F7B17">
        <w:t>are</w:t>
      </w:r>
      <w:r w:rsidRPr="00FE6621">
        <w:t xml:space="preserve"> not familiar with the TPB’s role in the regional transportation planning process. They also may not be fully aware of the regional context underlying the transportation challenges experienced </w:t>
      </w:r>
      <w:r w:rsidR="00B56D37" w:rsidRPr="00FE6621">
        <w:t>throughout</w:t>
      </w:r>
      <w:r w:rsidRPr="00FE6621">
        <w:t xml:space="preserve"> the region. This middle tier often includes community and opinion leaders who work at the local level. </w:t>
      </w:r>
    </w:p>
    <w:p w14:paraId="46E3C1C0" w14:textId="62EC1A00" w:rsidR="00FE6621" w:rsidRPr="00FE6621" w:rsidRDefault="00FE6621" w:rsidP="00FE6621">
      <w:r w:rsidRPr="00FE6621">
        <w:rPr>
          <w:b/>
          <w:bCs/>
          <w:i/>
          <w:iCs/>
        </w:rPr>
        <w:t xml:space="preserve">The general public </w:t>
      </w:r>
      <w:r w:rsidRPr="00FE6621">
        <w:t>has an inherent interest in transportation challenges but possess little direct knowledge of transportation policy issues. This group, which is the largest of the three. In addition to the public, this group includes community leaders and elected officials who have limited exposure to transportation planning at any level.</w:t>
      </w:r>
    </w:p>
    <w:p w14:paraId="189A9401" w14:textId="068DC3E8" w:rsidR="00FE6621" w:rsidRDefault="00FE6621" w:rsidP="00546C56"/>
    <w:p w14:paraId="07A156C7" w14:textId="096F6A84" w:rsidR="00FE6621" w:rsidRPr="00546C56" w:rsidRDefault="00FE6621" w:rsidP="00546C56">
      <w:r>
        <w:t>SLIDE 13 – How can the public get involved at the TPB?</w:t>
      </w:r>
    </w:p>
    <w:p w14:paraId="532A3AD4" w14:textId="77777777" w:rsidR="0099621E" w:rsidRPr="0099621E" w:rsidRDefault="0099621E" w:rsidP="0099621E">
      <w:pPr>
        <w:numPr>
          <w:ilvl w:val="0"/>
          <w:numId w:val="3"/>
        </w:numPr>
      </w:pPr>
      <w:r w:rsidRPr="0099621E">
        <w:rPr>
          <w:b/>
          <w:bCs/>
        </w:rPr>
        <w:t xml:space="preserve">Monthly TPB meeting </w:t>
      </w:r>
      <w:r w:rsidRPr="0099621E">
        <w:t>– Attend in-person or online (</w:t>
      </w:r>
      <w:hyperlink r:id="rId8" w:history="1">
        <w:r w:rsidRPr="0099621E">
          <w:rPr>
            <w:rStyle w:val="Hyperlink"/>
          </w:rPr>
          <w:t>www.mwcog.org/tpbmtg</w:t>
        </w:r>
      </w:hyperlink>
      <w:r w:rsidRPr="0099621E">
        <w:t>) and comment (</w:t>
      </w:r>
      <w:hyperlink r:id="rId9" w:history="1">
        <w:r w:rsidRPr="0099621E">
          <w:rPr>
            <w:rStyle w:val="Hyperlink"/>
          </w:rPr>
          <w:t>TPBcomment@mwcog.</w:t>
        </w:r>
      </w:hyperlink>
      <w:hyperlink r:id="rId10" w:history="1">
        <w:r w:rsidRPr="0099621E">
          <w:rPr>
            <w:rStyle w:val="Hyperlink"/>
          </w:rPr>
          <w:t>org</w:t>
        </w:r>
      </w:hyperlink>
      <w:r w:rsidRPr="0099621E">
        <w:rPr>
          <w:u w:val="single"/>
        </w:rPr>
        <w:t>)</w:t>
      </w:r>
    </w:p>
    <w:p w14:paraId="161FB341" w14:textId="77777777" w:rsidR="0099621E" w:rsidRPr="0099621E" w:rsidRDefault="0099621E" w:rsidP="0099621E">
      <w:pPr>
        <w:numPr>
          <w:ilvl w:val="0"/>
          <w:numId w:val="3"/>
        </w:numPr>
      </w:pPr>
      <w:r w:rsidRPr="0099621E">
        <w:rPr>
          <w:b/>
          <w:bCs/>
        </w:rPr>
        <w:t xml:space="preserve">TPB News </w:t>
      </w:r>
      <w:r w:rsidRPr="0099621E">
        <w:t>– Subscribe to TPB News to learn about all the great things going on at the TPB (</w:t>
      </w:r>
      <w:hyperlink r:id="rId11" w:history="1">
        <w:r w:rsidRPr="0099621E">
          <w:rPr>
            <w:rStyle w:val="Hyperlink"/>
          </w:rPr>
          <w:t>mwcog.org/</w:t>
        </w:r>
      </w:hyperlink>
      <w:hyperlink r:id="rId12" w:history="1">
        <w:r w:rsidRPr="0099621E">
          <w:rPr>
            <w:rStyle w:val="Hyperlink"/>
          </w:rPr>
          <w:t>tpbnews</w:t>
        </w:r>
      </w:hyperlink>
      <w:r w:rsidRPr="0099621E">
        <w:t>)</w:t>
      </w:r>
    </w:p>
    <w:p w14:paraId="592C8F17" w14:textId="77777777" w:rsidR="0099621E" w:rsidRPr="0099621E" w:rsidRDefault="0099621E" w:rsidP="0099621E">
      <w:pPr>
        <w:numPr>
          <w:ilvl w:val="0"/>
          <w:numId w:val="3"/>
        </w:numPr>
      </w:pPr>
      <w:r w:rsidRPr="0099621E">
        <w:rPr>
          <w:b/>
          <w:bCs/>
        </w:rPr>
        <w:t xml:space="preserve">Other subscriptions </w:t>
      </w:r>
      <w:r w:rsidRPr="0099621E">
        <w:t>(</w:t>
      </w:r>
      <w:hyperlink r:id="rId13" w:history="1">
        <w:r w:rsidRPr="0099621E">
          <w:rPr>
            <w:rStyle w:val="Hyperlink"/>
          </w:rPr>
          <w:t>mwcog</w:t>
        </w:r>
      </w:hyperlink>
      <w:hyperlink r:id="rId14" w:history="1">
        <w:r w:rsidRPr="0099621E">
          <w:rPr>
            <w:rStyle w:val="Hyperlink"/>
          </w:rPr>
          <w:t>.org/subscribe</w:t>
        </w:r>
      </w:hyperlink>
      <w:hyperlink r:id="rId15" w:history="1">
        <w:r w:rsidRPr="0099621E">
          <w:rPr>
            <w:rStyle w:val="Hyperlink"/>
          </w:rPr>
          <w:t>/</w:t>
        </w:r>
      </w:hyperlink>
      <w:r w:rsidRPr="0099621E">
        <w:t>)</w:t>
      </w:r>
    </w:p>
    <w:p w14:paraId="1D7A5454" w14:textId="77777777" w:rsidR="0099621E" w:rsidRPr="0099621E" w:rsidRDefault="0099621E" w:rsidP="0099621E">
      <w:pPr>
        <w:numPr>
          <w:ilvl w:val="0"/>
          <w:numId w:val="3"/>
        </w:numPr>
      </w:pPr>
      <w:r w:rsidRPr="0099621E">
        <w:rPr>
          <w:b/>
          <w:bCs/>
        </w:rPr>
        <w:t xml:space="preserve">Join an advisory committee </w:t>
      </w:r>
      <w:r w:rsidRPr="0099621E">
        <w:t>– Citizens Advisory Committee (mwcog.org/tpbcac) and AFA (</w:t>
      </w:r>
      <w:hyperlink r:id="rId16" w:history="1">
        <w:r w:rsidRPr="0099621E">
          <w:rPr>
            <w:rStyle w:val="Hyperlink"/>
          </w:rPr>
          <w:t>mwcog</w:t>
        </w:r>
      </w:hyperlink>
      <w:hyperlink r:id="rId17" w:history="1">
        <w:r w:rsidRPr="0099621E">
          <w:rPr>
            <w:rStyle w:val="Hyperlink"/>
          </w:rPr>
          <w:t>.org/</w:t>
        </w:r>
      </w:hyperlink>
      <w:hyperlink r:id="rId18" w:history="1">
        <w:r w:rsidRPr="0099621E">
          <w:rPr>
            <w:rStyle w:val="Hyperlink"/>
          </w:rPr>
          <w:t>tpbafa</w:t>
        </w:r>
      </w:hyperlink>
      <w:hyperlink r:id="rId19" w:history="1">
        <w:r w:rsidRPr="0099621E">
          <w:rPr>
            <w:rStyle w:val="Hyperlink"/>
          </w:rPr>
          <w:t>/</w:t>
        </w:r>
      </w:hyperlink>
      <w:r w:rsidRPr="0099621E">
        <w:t>)</w:t>
      </w:r>
    </w:p>
    <w:p w14:paraId="7901CE5D" w14:textId="77777777" w:rsidR="0099621E" w:rsidRPr="0099621E" w:rsidRDefault="0099621E" w:rsidP="0099621E">
      <w:pPr>
        <w:numPr>
          <w:ilvl w:val="0"/>
          <w:numId w:val="3"/>
        </w:numPr>
      </w:pPr>
      <w:r w:rsidRPr="0099621E">
        <w:rPr>
          <w:b/>
          <w:bCs/>
        </w:rPr>
        <w:t xml:space="preserve">Visualize 2045 </w:t>
      </w:r>
      <w:r w:rsidRPr="0099621E">
        <w:t>– We are planning our next long-range plan update (</w:t>
      </w:r>
      <w:hyperlink r:id="rId20" w:history="1">
        <w:r w:rsidRPr="0099621E">
          <w:rPr>
            <w:rStyle w:val="Hyperlink"/>
          </w:rPr>
          <w:t>visualize2045.org</w:t>
        </w:r>
      </w:hyperlink>
      <w:r w:rsidRPr="0099621E">
        <w:t>)</w:t>
      </w:r>
    </w:p>
    <w:p w14:paraId="5556BA4C" w14:textId="77777777" w:rsidR="0099621E" w:rsidRPr="0099621E" w:rsidRDefault="0099621E" w:rsidP="0099621E">
      <w:pPr>
        <w:numPr>
          <w:ilvl w:val="0"/>
          <w:numId w:val="3"/>
        </w:numPr>
      </w:pPr>
      <w:r w:rsidRPr="0099621E">
        <w:rPr>
          <w:b/>
          <w:bCs/>
        </w:rPr>
        <w:t>Comment</w:t>
      </w:r>
      <w:r w:rsidRPr="0099621E">
        <w:t xml:space="preserve"> – Comment on a specific plan or on anything transportation related (</w:t>
      </w:r>
      <w:hyperlink r:id="rId21" w:history="1">
        <w:r w:rsidRPr="0099621E">
          <w:rPr>
            <w:rStyle w:val="Hyperlink"/>
          </w:rPr>
          <w:t>mwcog</w:t>
        </w:r>
      </w:hyperlink>
      <w:hyperlink r:id="rId22" w:history="1">
        <w:r w:rsidRPr="0099621E">
          <w:rPr>
            <w:rStyle w:val="Hyperlink"/>
          </w:rPr>
          <w:t>.org/</w:t>
        </w:r>
      </w:hyperlink>
      <w:hyperlink r:id="rId23" w:history="1">
        <w:r w:rsidRPr="0099621E">
          <w:rPr>
            <w:rStyle w:val="Hyperlink"/>
          </w:rPr>
          <w:t>tpbcomment</w:t>
        </w:r>
      </w:hyperlink>
      <w:hyperlink r:id="rId24" w:history="1">
        <w:r w:rsidRPr="0099621E">
          <w:rPr>
            <w:rStyle w:val="Hyperlink"/>
          </w:rPr>
          <w:t>/</w:t>
        </w:r>
      </w:hyperlink>
      <w:r w:rsidRPr="0099621E">
        <w:t>)</w:t>
      </w:r>
    </w:p>
    <w:p w14:paraId="23C11813" w14:textId="41178B58" w:rsidR="009C6632" w:rsidRDefault="009C6632"/>
    <w:p w14:paraId="3F498224" w14:textId="1941506C" w:rsidR="001A381F" w:rsidRDefault="001A381F">
      <w:r>
        <w:t>SLIDE 14 – Next Steps</w:t>
      </w:r>
    </w:p>
    <w:p w14:paraId="62AD58BE" w14:textId="77777777" w:rsidR="00116A86" w:rsidRPr="00116A86" w:rsidRDefault="00116A86" w:rsidP="00116A86">
      <w:pPr>
        <w:numPr>
          <w:ilvl w:val="0"/>
          <w:numId w:val="4"/>
        </w:numPr>
      </w:pPr>
      <w:r w:rsidRPr="00116A86">
        <w:t>Meet with CAC &amp; AFA – June 2020</w:t>
      </w:r>
    </w:p>
    <w:p w14:paraId="2F324B17" w14:textId="77777777" w:rsidR="00116A86" w:rsidRPr="00116A86" w:rsidRDefault="00116A86" w:rsidP="00116A86">
      <w:pPr>
        <w:numPr>
          <w:ilvl w:val="0"/>
          <w:numId w:val="4"/>
        </w:numPr>
      </w:pPr>
      <w:r w:rsidRPr="00116A86">
        <w:t>Draft plan – June 2020</w:t>
      </w:r>
    </w:p>
    <w:p w14:paraId="37777192" w14:textId="77777777" w:rsidR="00116A86" w:rsidRPr="00116A86" w:rsidRDefault="00116A86" w:rsidP="00116A86">
      <w:pPr>
        <w:numPr>
          <w:ilvl w:val="0"/>
          <w:numId w:val="4"/>
        </w:numPr>
      </w:pPr>
      <w:r w:rsidRPr="00116A86">
        <w:t>Public comment (45 days) – Summer 2020</w:t>
      </w:r>
    </w:p>
    <w:p w14:paraId="7C4CBB10" w14:textId="77777777" w:rsidR="00116A86" w:rsidRPr="00116A86" w:rsidRDefault="00116A86" w:rsidP="00116A86">
      <w:pPr>
        <w:numPr>
          <w:ilvl w:val="0"/>
          <w:numId w:val="4"/>
        </w:numPr>
      </w:pPr>
      <w:r w:rsidRPr="00116A86">
        <w:t>Board approval – Fall 2020</w:t>
      </w:r>
    </w:p>
    <w:p w14:paraId="79B70C08" w14:textId="6505A3DF" w:rsidR="001A381F" w:rsidRDefault="001A381F"/>
    <w:p w14:paraId="246C93AE" w14:textId="27305401" w:rsidR="00F0617E" w:rsidRDefault="00F0617E">
      <w:r>
        <w:t>SLIDE 15 – Contact information</w:t>
      </w:r>
    </w:p>
    <w:p w14:paraId="2DE2A9A6" w14:textId="5370F149" w:rsidR="00F0617E" w:rsidRPr="00F0617E" w:rsidRDefault="00F0617E" w:rsidP="00F0617E">
      <w:r w:rsidRPr="00F0617E">
        <w:t>Bryan Hayes</w:t>
      </w:r>
      <w:r>
        <w:br/>
      </w:r>
      <w:r w:rsidRPr="00F0617E">
        <w:t>TPB Transportation Planner</w:t>
      </w:r>
      <w:r>
        <w:br/>
      </w:r>
      <w:r w:rsidRPr="00F0617E">
        <w:t>(202) 962-3273</w:t>
      </w:r>
      <w:r>
        <w:br/>
      </w:r>
      <w:hyperlink r:id="rId25" w:history="1">
        <w:r w:rsidRPr="00F0617E">
          <w:rPr>
            <w:rStyle w:val="Hyperlink"/>
          </w:rPr>
          <w:t>bhayes@mwcog.org</w:t>
        </w:r>
      </w:hyperlink>
    </w:p>
    <w:p w14:paraId="4C9B97E0" w14:textId="4A127EF4" w:rsidR="00F0617E" w:rsidRPr="00F0617E" w:rsidRDefault="00F0617E" w:rsidP="00F0617E">
      <w:r w:rsidRPr="00F0617E">
        <w:t>John Swanson</w:t>
      </w:r>
      <w:r>
        <w:br/>
      </w:r>
      <w:r w:rsidRPr="00F0617E">
        <w:t>TPB Transportation Planner</w:t>
      </w:r>
      <w:r>
        <w:br/>
      </w:r>
      <w:r w:rsidRPr="00F0617E">
        <w:t>(202) 962-3295</w:t>
      </w:r>
      <w:r w:rsidR="00137FA9">
        <w:br/>
      </w:r>
      <w:r w:rsidRPr="00F0617E">
        <w:t>jswanson@mwcog.org</w:t>
      </w:r>
    </w:p>
    <w:p w14:paraId="24EFFEF1" w14:textId="77777777" w:rsidR="00F0617E" w:rsidRDefault="00F0617E"/>
    <w:sectPr w:rsidR="00F06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28A6"/>
    <w:multiLevelType w:val="hybridMultilevel"/>
    <w:tmpl w:val="532C3440"/>
    <w:lvl w:ilvl="0" w:tplc="07B64A30">
      <w:start w:val="1"/>
      <w:numFmt w:val="decimal"/>
      <w:lvlText w:val="%1)"/>
      <w:lvlJc w:val="left"/>
      <w:pPr>
        <w:tabs>
          <w:tab w:val="num" w:pos="720"/>
        </w:tabs>
        <w:ind w:left="720" w:hanging="360"/>
      </w:pPr>
    </w:lvl>
    <w:lvl w:ilvl="1" w:tplc="92BA87F8">
      <w:start w:val="1"/>
      <w:numFmt w:val="decimal"/>
      <w:lvlText w:val="%2)"/>
      <w:lvlJc w:val="left"/>
      <w:pPr>
        <w:tabs>
          <w:tab w:val="num" w:pos="1440"/>
        </w:tabs>
        <w:ind w:left="1440" w:hanging="360"/>
      </w:pPr>
    </w:lvl>
    <w:lvl w:ilvl="2" w:tplc="AFA86252" w:tentative="1">
      <w:start w:val="1"/>
      <w:numFmt w:val="decimal"/>
      <w:lvlText w:val="%3)"/>
      <w:lvlJc w:val="left"/>
      <w:pPr>
        <w:tabs>
          <w:tab w:val="num" w:pos="2160"/>
        </w:tabs>
        <w:ind w:left="2160" w:hanging="360"/>
      </w:pPr>
    </w:lvl>
    <w:lvl w:ilvl="3" w:tplc="55E47FAE" w:tentative="1">
      <w:start w:val="1"/>
      <w:numFmt w:val="decimal"/>
      <w:lvlText w:val="%4)"/>
      <w:lvlJc w:val="left"/>
      <w:pPr>
        <w:tabs>
          <w:tab w:val="num" w:pos="2880"/>
        </w:tabs>
        <w:ind w:left="2880" w:hanging="360"/>
      </w:pPr>
    </w:lvl>
    <w:lvl w:ilvl="4" w:tplc="ABF66F00" w:tentative="1">
      <w:start w:val="1"/>
      <w:numFmt w:val="decimal"/>
      <w:lvlText w:val="%5)"/>
      <w:lvlJc w:val="left"/>
      <w:pPr>
        <w:tabs>
          <w:tab w:val="num" w:pos="3600"/>
        </w:tabs>
        <w:ind w:left="3600" w:hanging="360"/>
      </w:pPr>
    </w:lvl>
    <w:lvl w:ilvl="5" w:tplc="B49EA72C" w:tentative="1">
      <w:start w:val="1"/>
      <w:numFmt w:val="decimal"/>
      <w:lvlText w:val="%6)"/>
      <w:lvlJc w:val="left"/>
      <w:pPr>
        <w:tabs>
          <w:tab w:val="num" w:pos="4320"/>
        </w:tabs>
        <w:ind w:left="4320" w:hanging="360"/>
      </w:pPr>
    </w:lvl>
    <w:lvl w:ilvl="6" w:tplc="E5C4135A" w:tentative="1">
      <w:start w:val="1"/>
      <w:numFmt w:val="decimal"/>
      <w:lvlText w:val="%7)"/>
      <w:lvlJc w:val="left"/>
      <w:pPr>
        <w:tabs>
          <w:tab w:val="num" w:pos="5040"/>
        </w:tabs>
        <w:ind w:left="5040" w:hanging="360"/>
      </w:pPr>
    </w:lvl>
    <w:lvl w:ilvl="7" w:tplc="EB04866E" w:tentative="1">
      <w:start w:val="1"/>
      <w:numFmt w:val="decimal"/>
      <w:lvlText w:val="%8)"/>
      <w:lvlJc w:val="left"/>
      <w:pPr>
        <w:tabs>
          <w:tab w:val="num" w:pos="5760"/>
        </w:tabs>
        <w:ind w:left="5760" w:hanging="360"/>
      </w:pPr>
    </w:lvl>
    <w:lvl w:ilvl="8" w:tplc="BB4017C8" w:tentative="1">
      <w:start w:val="1"/>
      <w:numFmt w:val="decimal"/>
      <w:lvlText w:val="%9)"/>
      <w:lvlJc w:val="left"/>
      <w:pPr>
        <w:tabs>
          <w:tab w:val="num" w:pos="6480"/>
        </w:tabs>
        <w:ind w:left="6480" w:hanging="360"/>
      </w:pPr>
    </w:lvl>
  </w:abstractNum>
  <w:abstractNum w:abstractNumId="1" w15:restartNumberingAfterBreak="0">
    <w:nsid w:val="18F65923"/>
    <w:multiLevelType w:val="hybridMultilevel"/>
    <w:tmpl w:val="DA546A6C"/>
    <w:lvl w:ilvl="0" w:tplc="18526800">
      <w:start w:val="1"/>
      <w:numFmt w:val="decimal"/>
      <w:lvlText w:val="%1."/>
      <w:lvlJc w:val="left"/>
      <w:pPr>
        <w:tabs>
          <w:tab w:val="num" w:pos="720"/>
        </w:tabs>
        <w:ind w:left="720" w:hanging="360"/>
      </w:pPr>
    </w:lvl>
    <w:lvl w:ilvl="1" w:tplc="2786A5DE" w:tentative="1">
      <w:start w:val="1"/>
      <w:numFmt w:val="decimal"/>
      <w:lvlText w:val="%2."/>
      <w:lvlJc w:val="left"/>
      <w:pPr>
        <w:tabs>
          <w:tab w:val="num" w:pos="1440"/>
        </w:tabs>
        <w:ind w:left="1440" w:hanging="360"/>
      </w:pPr>
    </w:lvl>
    <w:lvl w:ilvl="2" w:tplc="BC98C946" w:tentative="1">
      <w:start w:val="1"/>
      <w:numFmt w:val="decimal"/>
      <w:lvlText w:val="%3."/>
      <w:lvlJc w:val="left"/>
      <w:pPr>
        <w:tabs>
          <w:tab w:val="num" w:pos="2160"/>
        </w:tabs>
        <w:ind w:left="2160" w:hanging="360"/>
      </w:pPr>
    </w:lvl>
    <w:lvl w:ilvl="3" w:tplc="35F43318" w:tentative="1">
      <w:start w:val="1"/>
      <w:numFmt w:val="decimal"/>
      <w:lvlText w:val="%4."/>
      <w:lvlJc w:val="left"/>
      <w:pPr>
        <w:tabs>
          <w:tab w:val="num" w:pos="2880"/>
        </w:tabs>
        <w:ind w:left="2880" w:hanging="360"/>
      </w:pPr>
    </w:lvl>
    <w:lvl w:ilvl="4" w:tplc="9008E95C" w:tentative="1">
      <w:start w:val="1"/>
      <w:numFmt w:val="decimal"/>
      <w:lvlText w:val="%5."/>
      <w:lvlJc w:val="left"/>
      <w:pPr>
        <w:tabs>
          <w:tab w:val="num" w:pos="3600"/>
        </w:tabs>
        <w:ind w:left="3600" w:hanging="360"/>
      </w:pPr>
    </w:lvl>
    <w:lvl w:ilvl="5" w:tplc="FB848120" w:tentative="1">
      <w:start w:val="1"/>
      <w:numFmt w:val="decimal"/>
      <w:lvlText w:val="%6."/>
      <w:lvlJc w:val="left"/>
      <w:pPr>
        <w:tabs>
          <w:tab w:val="num" w:pos="4320"/>
        </w:tabs>
        <w:ind w:left="4320" w:hanging="360"/>
      </w:pPr>
    </w:lvl>
    <w:lvl w:ilvl="6" w:tplc="062AD8CE" w:tentative="1">
      <w:start w:val="1"/>
      <w:numFmt w:val="decimal"/>
      <w:lvlText w:val="%7."/>
      <w:lvlJc w:val="left"/>
      <w:pPr>
        <w:tabs>
          <w:tab w:val="num" w:pos="5040"/>
        </w:tabs>
        <w:ind w:left="5040" w:hanging="360"/>
      </w:pPr>
    </w:lvl>
    <w:lvl w:ilvl="7" w:tplc="08260E20" w:tentative="1">
      <w:start w:val="1"/>
      <w:numFmt w:val="decimal"/>
      <w:lvlText w:val="%8."/>
      <w:lvlJc w:val="left"/>
      <w:pPr>
        <w:tabs>
          <w:tab w:val="num" w:pos="5760"/>
        </w:tabs>
        <w:ind w:left="5760" w:hanging="360"/>
      </w:pPr>
    </w:lvl>
    <w:lvl w:ilvl="8" w:tplc="21C6F6D0" w:tentative="1">
      <w:start w:val="1"/>
      <w:numFmt w:val="decimal"/>
      <w:lvlText w:val="%9."/>
      <w:lvlJc w:val="left"/>
      <w:pPr>
        <w:tabs>
          <w:tab w:val="num" w:pos="6480"/>
        </w:tabs>
        <w:ind w:left="6480" w:hanging="360"/>
      </w:pPr>
    </w:lvl>
  </w:abstractNum>
  <w:abstractNum w:abstractNumId="2" w15:restartNumberingAfterBreak="0">
    <w:nsid w:val="35AE1591"/>
    <w:multiLevelType w:val="hybridMultilevel"/>
    <w:tmpl w:val="017ADF6E"/>
    <w:lvl w:ilvl="0" w:tplc="22208012">
      <w:start w:val="1"/>
      <w:numFmt w:val="bullet"/>
      <w:lvlText w:val="•"/>
      <w:lvlJc w:val="left"/>
      <w:pPr>
        <w:tabs>
          <w:tab w:val="num" w:pos="720"/>
        </w:tabs>
        <w:ind w:left="720" w:hanging="360"/>
      </w:pPr>
      <w:rPr>
        <w:rFonts w:ascii="Arial" w:hAnsi="Arial" w:hint="default"/>
      </w:rPr>
    </w:lvl>
    <w:lvl w:ilvl="1" w:tplc="CDF49FE6" w:tentative="1">
      <w:start w:val="1"/>
      <w:numFmt w:val="bullet"/>
      <w:lvlText w:val="•"/>
      <w:lvlJc w:val="left"/>
      <w:pPr>
        <w:tabs>
          <w:tab w:val="num" w:pos="1440"/>
        </w:tabs>
        <w:ind w:left="1440" w:hanging="360"/>
      </w:pPr>
      <w:rPr>
        <w:rFonts w:ascii="Arial" w:hAnsi="Arial" w:hint="default"/>
      </w:rPr>
    </w:lvl>
    <w:lvl w:ilvl="2" w:tplc="ECBC7FEC" w:tentative="1">
      <w:start w:val="1"/>
      <w:numFmt w:val="bullet"/>
      <w:lvlText w:val="•"/>
      <w:lvlJc w:val="left"/>
      <w:pPr>
        <w:tabs>
          <w:tab w:val="num" w:pos="2160"/>
        </w:tabs>
        <w:ind w:left="2160" w:hanging="360"/>
      </w:pPr>
      <w:rPr>
        <w:rFonts w:ascii="Arial" w:hAnsi="Arial" w:hint="default"/>
      </w:rPr>
    </w:lvl>
    <w:lvl w:ilvl="3" w:tplc="F328E78A" w:tentative="1">
      <w:start w:val="1"/>
      <w:numFmt w:val="bullet"/>
      <w:lvlText w:val="•"/>
      <w:lvlJc w:val="left"/>
      <w:pPr>
        <w:tabs>
          <w:tab w:val="num" w:pos="2880"/>
        </w:tabs>
        <w:ind w:left="2880" w:hanging="360"/>
      </w:pPr>
      <w:rPr>
        <w:rFonts w:ascii="Arial" w:hAnsi="Arial" w:hint="default"/>
      </w:rPr>
    </w:lvl>
    <w:lvl w:ilvl="4" w:tplc="1DEAE4DC" w:tentative="1">
      <w:start w:val="1"/>
      <w:numFmt w:val="bullet"/>
      <w:lvlText w:val="•"/>
      <w:lvlJc w:val="left"/>
      <w:pPr>
        <w:tabs>
          <w:tab w:val="num" w:pos="3600"/>
        </w:tabs>
        <w:ind w:left="3600" w:hanging="360"/>
      </w:pPr>
      <w:rPr>
        <w:rFonts w:ascii="Arial" w:hAnsi="Arial" w:hint="default"/>
      </w:rPr>
    </w:lvl>
    <w:lvl w:ilvl="5" w:tplc="80689A9A" w:tentative="1">
      <w:start w:val="1"/>
      <w:numFmt w:val="bullet"/>
      <w:lvlText w:val="•"/>
      <w:lvlJc w:val="left"/>
      <w:pPr>
        <w:tabs>
          <w:tab w:val="num" w:pos="4320"/>
        </w:tabs>
        <w:ind w:left="4320" w:hanging="360"/>
      </w:pPr>
      <w:rPr>
        <w:rFonts w:ascii="Arial" w:hAnsi="Arial" w:hint="default"/>
      </w:rPr>
    </w:lvl>
    <w:lvl w:ilvl="6" w:tplc="B24A3634" w:tentative="1">
      <w:start w:val="1"/>
      <w:numFmt w:val="bullet"/>
      <w:lvlText w:val="•"/>
      <w:lvlJc w:val="left"/>
      <w:pPr>
        <w:tabs>
          <w:tab w:val="num" w:pos="5040"/>
        </w:tabs>
        <w:ind w:left="5040" w:hanging="360"/>
      </w:pPr>
      <w:rPr>
        <w:rFonts w:ascii="Arial" w:hAnsi="Arial" w:hint="default"/>
      </w:rPr>
    </w:lvl>
    <w:lvl w:ilvl="7" w:tplc="E23CA1FA" w:tentative="1">
      <w:start w:val="1"/>
      <w:numFmt w:val="bullet"/>
      <w:lvlText w:val="•"/>
      <w:lvlJc w:val="left"/>
      <w:pPr>
        <w:tabs>
          <w:tab w:val="num" w:pos="5760"/>
        </w:tabs>
        <w:ind w:left="5760" w:hanging="360"/>
      </w:pPr>
      <w:rPr>
        <w:rFonts w:ascii="Arial" w:hAnsi="Arial" w:hint="default"/>
      </w:rPr>
    </w:lvl>
    <w:lvl w:ilvl="8" w:tplc="998401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676A65"/>
    <w:multiLevelType w:val="hybridMultilevel"/>
    <w:tmpl w:val="DB04E236"/>
    <w:lvl w:ilvl="0" w:tplc="BF2C8170">
      <w:start w:val="1"/>
      <w:numFmt w:val="decimal"/>
      <w:lvlText w:val="%1."/>
      <w:lvlJc w:val="left"/>
      <w:pPr>
        <w:tabs>
          <w:tab w:val="num" w:pos="720"/>
        </w:tabs>
        <w:ind w:left="720" w:hanging="360"/>
      </w:pPr>
    </w:lvl>
    <w:lvl w:ilvl="1" w:tplc="29946F4E" w:tentative="1">
      <w:start w:val="1"/>
      <w:numFmt w:val="decimal"/>
      <w:lvlText w:val="%2."/>
      <w:lvlJc w:val="left"/>
      <w:pPr>
        <w:tabs>
          <w:tab w:val="num" w:pos="1440"/>
        </w:tabs>
        <w:ind w:left="1440" w:hanging="360"/>
      </w:pPr>
    </w:lvl>
    <w:lvl w:ilvl="2" w:tplc="90B865D8" w:tentative="1">
      <w:start w:val="1"/>
      <w:numFmt w:val="decimal"/>
      <w:lvlText w:val="%3."/>
      <w:lvlJc w:val="left"/>
      <w:pPr>
        <w:tabs>
          <w:tab w:val="num" w:pos="2160"/>
        </w:tabs>
        <w:ind w:left="2160" w:hanging="360"/>
      </w:pPr>
    </w:lvl>
    <w:lvl w:ilvl="3" w:tplc="8D8CB858" w:tentative="1">
      <w:start w:val="1"/>
      <w:numFmt w:val="decimal"/>
      <w:lvlText w:val="%4."/>
      <w:lvlJc w:val="left"/>
      <w:pPr>
        <w:tabs>
          <w:tab w:val="num" w:pos="2880"/>
        </w:tabs>
        <w:ind w:left="2880" w:hanging="360"/>
      </w:pPr>
    </w:lvl>
    <w:lvl w:ilvl="4" w:tplc="818EA250" w:tentative="1">
      <w:start w:val="1"/>
      <w:numFmt w:val="decimal"/>
      <w:lvlText w:val="%5."/>
      <w:lvlJc w:val="left"/>
      <w:pPr>
        <w:tabs>
          <w:tab w:val="num" w:pos="3600"/>
        </w:tabs>
        <w:ind w:left="3600" w:hanging="360"/>
      </w:pPr>
    </w:lvl>
    <w:lvl w:ilvl="5" w:tplc="6B727C5C" w:tentative="1">
      <w:start w:val="1"/>
      <w:numFmt w:val="decimal"/>
      <w:lvlText w:val="%6."/>
      <w:lvlJc w:val="left"/>
      <w:pPr>
        <w:tabs>
          <w:tab w:val="num" w:pos="4320"/>
        </w:tabs>
        <w:ind w:left="4320" w:hanging="360"/>
      </w:pPr>
    </w:lvl>
    <w:lvl w:ilvl="6" w:tplc="386CD654" w:tentative="1">
      <w:start w:val="1"/>
      <w:numFmt w:val="decimal"/>
      <w:lvlText w:val="%7."/>
      <w:lvlJc w:val="left"/>
      <w:pPr>
        <w:tabs>
          <w:tab w:val="num" w:pos="5040"/>
        </w:tabs>
        <w:ind w:left="5040" w:hanging="360"/>
      </w:pPr>
    </w:lvl>
    <w:lvl w:ilvl="7" w:tplc="07B4D490" w:tentative="1">
      <w:start w:val="1"/>
      <w:numFmt w:val="decimal"/>
      <w:lvlText w:val="%8."/>
      <w:lvlJc w:val="left"/>
      <w:pPr>
        <w:tabs>
          <w:tab w:val="num" w:pos="5760"/>
        </w:tabs>
        <w:ind w:left="5760" w:hanging="360"/>
      </w:pPr>
    </w:lvl>
    <w:lvl w:ilvl="8" w:tplc="53F8AAA4"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F5"/>
    <w:rsid w:val="00116A86"/>
    <w:rsid w:val="0012486F"/>
    <w:rsid w:val="00137FA9"/>
    <w:rsid w:val="001A381F"/>
    <w:rsid w:val="0021011B"/>
    <w:rsid w:val="00324B0E"/>
    <w:rsid w:val="00343467"/>
    <w:rsid w:val="003F6D46"/>
    <w:rsid w:val="003F7B17"/>
    <w:rsid w:val="004543FC"/>
    <w:rsid w:val="00546C56"/>
    <w:rsid w:val="005901B0"/>
    <w:rsid w:val="005C2D40"/>
    <w:rsid w:val="006B65A1"/>
    <w:rsid w:val="006D0F17"/>
    <w:rsid w:val="007118F2"/>
    <w:rsid w:val="007B16F2"/>
    <w:rsid w:val="00856615"/>
    <w:rsid w:val="00941AFF"/>
    <w:rsid w:val="009653AE"/>
    <w:rsid w:val="0099621E"/>
    <w:rsid w:val="009C6632"/>
    <w:rsid w:val="00AA44F5"/>
    <w:rsid w:val="00AC7D2D"/>
    <w:rsid w:val="00B3488D"/>
    <w:rsid w:val="00B56D37"/>
    <w:rsid w:val="00C61B04"/>
    <w:rsid w:val="00CD6E00"/>
    <w:rsid w:val="00D852DD"/>
    <w:rsid w:val="00F0617E"/>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93EC"/>
  <w15:chartTrackingRefBased/>
  <w15:docId w15:val="{D741C5CB-8131-4E49-962E-AA626DF1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4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621E"/>
    <w:rPr>
      <w:color w:val="0563C1" w:themeColor="hyperlink"/>
      <w:u w:val="single"/>
    </w:rPr>
  </w:style>
  <w:style w:type="character" w:styleId="UnresolvedMention">
    <w:name w:val="Unresolved Mention"/>
    <w:basedOn w:val="DefaultParagraphFont"/>
    <w:uiPriority w:val="99"/>
    <w:semiHidden/>
    <w:unhideWhenUsed/>
    <w:rsid w:val="0099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9904">
      <w:bodyDiv w:val="1"/>
      <w:marLeft w:val="0"/>
      <w:marRight w:val="0"/>
      <w:marTop w:val="0"/>
      <w:marBottom w:val="0"/>
      <w:divBdr>
        <w:top w:val="none" w:sz="0" w:space="0" w:color="auto"/>
        <w:left w:val="none" w:sz="0" w:space="0" w:color="auto"/>
        <w:bottom w:val="none" w:sz="0" w:space="0" w:color="auto"/>
        <w:right w:val="none" w:sz="0" w:space="0" w:color="auto"/>
      </w:divBdr>
    </w:div>
    <w:div w:id="182256130">
      <w:bodyDiv w:val="1"/>
      <w:marLeft w:val="0"/>
      <w:marRight w:val="0"/>
      <w:marTop w:val="0"/>
      <w:marBottom w:val="0"/>
      <w:divBdr>
        <w:top w:val="none" w:sz="0" w:space="0" w:color="auto"/>
        <w:left w:val="none" w:sz="0" w:space="0" w:color="auto"/>
        <w:bottom w:val="none" w:sz="0" w:space="0" w:color="auto"/>
        <w:right w:val="none" w:sz="0" w:space="0" w:color="auto"/>
      </w:divBdr>
    </w:div>
    <w:div w:id="191916158">
      <w:bodyDiv w:val="1"/>
      <w:marLeft w:val="0"/>
      <w:marRight w:val="0"/>
      <w:marTop w:val="0"/>
      <w:marBottom w:val="0"/>
      <w:divBdr>
        <w:top w:val="none" w:sz="0" w:space="0" w:color="auto"/>
        <w:left w:val="none" w:sz="0" w:space="0" w:color="auto"/>
        <w:bottom w:val="none" w:sz="0" w:space="0" w:color="auto"/>
        <w:right w:val="none" w:sz="0" w:space="0" w:color="auto"/>
      </w:divBdr>
    </w:div>
    <w:div w:id="323506974">
      <w:bodyDiv w:val="1"/>
      <w:marLeft w:val="0"/>
      <w:marRight w:val="0"/>
      <w:marTop w:val="0"/>
      <w:marBottom w:val="0"/>
      <w:divBdr>
        <w:top w:val="none" w:sz="0" w:space="0" w:color="auto"/>
        <w:left w:val="none" w:sz="0" w:space="0" w:color="auto"/>
        <w:bottom w:val="none" w:sz="0" w:space="0" w:color="auto"/>
        <w:right w:val="none" w:sz="0" w:space="0" w:color="auto"/>
      </w:divBdr>
      <w:divsChild>
        <w:div w:id="883324233">
          <w:marLeft w:val="446"/>
          <w:marRight w:val="0"/>
          <w:marTop w:val="0"/>
          <w:marBottom w:val="0"/>
          <w:divBdr>
            <w:top w:val="none" w:sz="0" w:space="0" w:color="auto"/>
            <w:left w:val="none" w:sz="0" w:space="0" w:color="auto"/>
            <w:bottom w:val="none" w:sz="0" w:space="0" w:color="auto"/>
            <w:right w:val="none" w:sz="0" w:space="0" w:color="auto"/>
          </w:divBdr>
        </w:div>
        <w:div w:id="581069207">
          <w:marLeft w:val="446"/>
          <w:marRight w:val="0"/>
          <w:marTop w:val="0"/>
          <w:marBottom w:val="0"/>
          <w:divBdr>
            <w:top w:val="none" w:sz="0" w:space="0" w:color="auto"/>
            <w:left w:val="none" w:sz="0" w:space="0" w:color="auto"/>
            <w:bottom w:val="none" w:sz="0" w:space="0" w:color="auto"/>
            <w:right w:val="none" w:sz="0" w:space="0" w:color="auto"/>
          </w:divBdr>
        </w:div>
        <w:div w:id="1324700903">
          <w:marLeft w:val="446"/>
          <w:marRight w:val="0"/>
          <w:marTop w:val="0"/>
          <w:marBottom w:val="0"/>
          <w:divBdr>
            <w:top w:val="none" w:sz="0" w:space="0" w:color="auto"/>
            <w:left w:val="none" w:sz="0" w:space="0" w:color="auto"/>
            <w:bottom w:val="none" w:sz="0" w:space="0" w:color="auto"/>
            <w:right w:val="none" w:sz="0" w:space="0" w:color="auto"/>
          </w:divBdr>
        </w:div>
        <w:div w:id="672149541">
          <w:marLeft w:val="446"/>
          <w:marRight w:val="0"/>
          <w:marTop w:val="0"/>
          <w:marBottom w:val="0"/>
          <w:divBdr>
            <w:top w:val="none" w:sz="0" w:space="0" w:color="auto"/>
            <w:left w:val="none" w:sz="0" w:space="0" w:color="auto"/>
            <w:bottom w:val="none" w:sz="0" w:space="0" w:color="auto"/>
            <w:right w:val="none" w:sz="0" w:space="0" w:color="auto"/>
          </w:divBdr>
        </w:div>
        <w:div w:id="1241136867">
          <w:marLeft w:val="446"/>
          <w:marRight w:val="0"/>
          <w:marTop w:val="0"/>
          <w:marBottom w:val="0"/>
          <w:divBdr>
            <w:top w:val="none" w:sz="0" w:space="0" w:color="auto"/>
            <w:left w:val="none" w:sz="0" w:space="0" w:color="auto"/>
            <w:bottom w:val="none" w:sz="0" w:space="0" w:color="auto"/>
            <w:right w:val="none" w:sz="0" w:space="0" w:color="auto"/>
          </w:divBdr>
        </w:div>
        <w:div w:id="1220706033">
          <w:marLeft w:val="446"/>
          <w:marRight w:val="0"/>
          <w:marTop w:val="0"/>
          <w:marBottom w:val="0"/>
          <w:divBdr>
            <w:top w:val="none" w:sz="0" w:space="0" w:color="auto"/>
            <w:left w:val="none" w:sz="0" w:space="0" w:color="auto"/>
            <w:bottom w:val="none" w:sz="0" w:space="0" w:color="auto"/>
            <w:right w:val="none" w:sz="0" w:space="0" w:color="auto"/>
          </w:divBdr>
        </w:div>
      </w:divsChild>
    </w:div>
    <w:div w:id="654574747">
      <w:bodyDiv w:val="1"/>
      <w:marLeft w:val="0"/>
      <w:marRight w:val="0"/>
      <w:marTop w:val="0"/>
      <w:marBottom w:val="0"/>
      <w:divBdr>
        <w:top w:val="none" w:sz="0" w:space="0" w:color="auto"/>
        <w:left w:val="none" w:sz="0" w:space="0" w:color="auto"/>
        <w:bottom w:val="none" w:sz="0" w:space="0" w:color="auto"/>
        <w:right w:val="none" w:sz="0" w:space="0" w:color="auto"/>
      </w:divBdr>
      <w:divsChild>
        <w:div w:id="1736004542">
          <w:marLeft w:val="1526"/>
          <w:marRight w:val="0"/>
          <w:marTop w:val="240"/>
          <w:marBottom w:val="0"/>
          <w:divBdr>
            <w:top w:val="none" w:sz="0" w:space="0" w:color="auto"/>
            <w:left w:val="none" w:sz="0" w:space="0" w:color="auto"/>
            <w:bottom w:val="none" w:sz="0" w:space="0" w:color="auto"/>
            <w:right w:val="none" w:sz="0" w:space="0" w:color="auto"/>
          </w:divBdr>
        </w:div>
        <w:div w:id="72361781">
          <w:marLeft w:val="1526"/>
          <w:marRight w:val="0"/>
          <w:marTop w:val="240"/>
          <w:marBottom w:val="0"/>
          <w:divBdr>
            <w:top w:val="none" w:sz="0" w:space="0" w:color="auto"/>
            <w:left w:val="none" w:sz="0" w:space="0" w:color="auto"/>
            <w:bottom w:val="none" w:sz="0" w:space="0" w:color="auto"/>
            <w:right w:val="none" w:sz="0" w:space="0" w:color="auto"/>
          </w:divBdr>
        </w:div>
      </w:divsChild>
    </w:div>
    <w:div w:id="723211323">
      <w:bodyDiv w:val="1"/>
      <w:marLeft w:val="0"/>
      <w:marRight w:val="0"/>
      <w:marTop w:val="0"/>
      <w:marBottom w:val="0"/>
      <w:divBdr>
        <w:top w:val="none" w:sz="0" w:space="0" w:color="auto"/>
        <w:left w:val="none" w:sz="0" w:space="0" w:color="auto"/>
        <w:bottom w:val="none" w:sz="0" w:space="0" w:color="auto"/>
        <w:right w:val="none" w:sz="0" w:space="0" w:color="auto"/>
      </w:divBdr>
    </w:div>
    <w:div w:id="790511243">
      <w:bodyDiv w:val="1"/>
      <w:marLeft w:val="0"/>
      <w:marRight w:val="0"/>
      <w:marTop w:val="0"/>
      <w:marBottom w:val="0"/>
      <w:divBdr>
        <w:top w:val="none" w:sz="0" w:space="0" w:color="auto"/>
        <w:left w:val="none" w:sz="0" w:space="0" w:color="auto"/>
        <w:bottom w:val="none" w:sz="0" w:space="0" w:color="auto"/>
        <w:right w:val="none" w:sz="0" w:space="0" w:color="auto"/>
      </w:divBdr>
      <w:divsChild>
        <w:div w:id="1456632604">
          <w:marLeft w:val="720"/>
          <w:marRight w:val="0"/>
          <w:marTop w:val="240"/>
          <w:marBottom w:val="0"/>
          <w:divBdr>
            <w:top w:val="none" w:sz="0" w:space="0" w:color="auto"/>
            <w:left w:val="none" w:sz="0" w:space="0" w:color="auto"/>
            <w:bottom w:val="none" w:sz="0" w:space="0" w:color="auto"/>
            <w:right w:val="none" w:sz="0" w:space="0" w:color="auto"/>
          </w:divBdr>
        </w:div>
        <w:div w:id="1288507753">
          <w:marLeft w:val="720"/>
          <w:marRight w:val="0"/>
          <w:marTop w:val="240"/>
          <w:marBottom w:val="0"/>
          <w:divBdr>
            <w:top w:val="none" w:sz="0" w:space="0" w:color="auto"/>
            <w:left w:val="none" w:sz="0" w:space="0" w:color="auto"/>
            <w:bottom w:val="none" w:sz="0" w:space="0" w:color="auto"/>
            <w:right w:val="none" w:sz="0" w:space="0" w:color="auto"/>
          </w:divBdr>
        </w:div>
        <w:div w:id="220676071">
          <w:marLeft w:val="720"/>
          <w:marRight w:val="0"/>
          <w:marTop w:val="240"/>
          <w:marBottom w:val="0"/>
          <w:divBdr>
            <w:top w:val="none" w:sz="0" w:space="0" w:color="auto"/>
            <w:left w:val="none" w:sz="0" w:space="0" w:color="auto"/>
            <w:bottom w:val="none" w:sz="0" w:space="0" w:color="auto"/>
            <w:right w:val="none" w:sz="0" w:space="0" w:color="auto"/>
          </w:divBdr>
        </w:div>
        <w:div w:id="1657764330">
          <w:marLeft w:val="720"/>
          <w:marRight w:val="0"/>
          <w:marTop w:val="240"/>
          <w:marBottom w:val="0"/>
          <w:divBdr>
            <w:top w:val="none" w:sz="0" w:space="0" w:color="auto"/>
            <w:left w:val="none" w:sz="0" w:space="0" w:color="auto"/>
            <w:bottom w:val="none" w:sz="0" w:space="0" w:color="auto"/>
            <w:right w:val="none" w:sz="0" w:space="0" w:color="auto"/>
          </w:divBdr>
        </w:div>
      </w:divsChild>
    </w:div>
    <w:div w:id="1210653520">
      <w:bodyDiv w:val="1"/>
      <w:marLeft w:val="0"/>
      <w:marRight w:val="0"/>
      <w:marTop w:val="0"/>
      <w:marBottom w:val="0"/>
      <w:divBdr>
        <w:top w:val="none" w:sz="0" w:space="0" w:color="auto"/>
        <w:left w:val="none" w:sz="0" w:space="0" w:color="auto"/>
        <w:bottom w:val="none" w:sz="0" w:space="0" w:color="auto"/>
        <w:right w:val="none" w:sz="0" w:space="0" w:color="auto"/>
      </w:divBdr>
    </w:div>
    <w:div w:id="1589077430">
      <w:bodyDiv w:val="1"/>
      <w:marLeft w:val="0"/>
      <w:marRight w:val="0"/>
      <w:marTop w:val="0"/>
      <w:marBottom w:val="0"/>
      <w:divBdr>
        <w:top w:val="none" w:sz="0" w:space="0" w:color="auto"/>
        <w:left w:val="none" w:sz="0" w:space="0" w:color="auto"/>
        <w:bottom w:val="none" w:sz="0" w:space="0" w:color="auto"/>
        <w:right w:val="none" w:sz="0" w:space="0" w:color="auto"/>
      </w:divBdr>
    </w:div>
    <w:div w:id="1684241205">
      <w:bodyDiv w:val="1"/>
      <w:marLeft w:val="0"/>
      <w:marRight w:val="0"/>
      <w:marTop w:val="0"/>
      <w:marBottom w:val="0"/>
      <w:divBdr>
        <w:top w:val="none" w:sz="0" w:space="0" w:color="auto"/>
        <w:left w:val="none" w:sz="0" w:space="0" w:color="auto"/>
        <w:bottom w:val="none" w:sz="0" w:space="0" w:color="auto"/>
        <w:right w:val="none" w:sz="0" w:space="0" w:color="auto"/>
      </w:divBdr>
    </w:div>
    <w:div w:id="1730495814">
      <w:bodyDiv w:val="1"/>
      <w:marLeft w:val="0"/>
      <w:marRight w:val="0"/>
      <w:marTop w:val="0"/>
      <w:marBottom w:val="0"/>
      <w:divBdr>
        <w:top w:val="none" w:sz="0" w:space="0" w:color="auto"/>
        <w:left w:val="none" w:sz="0" w:space="0" w:color="auto"/>
        <w:bottom w:val="none" w:sz="0" w:space="0" w:color="auto"/>
        <w:right w:val="none" w:sz="0" w:space="0" w:color="auto"/>
      </w:divBdr>
      <w:divsChild>
        <w:div w:id="590892902">
          <w:marLeft w:val="720"/>
          <w:marRight w:val="0"/>
          <w:marTop w:val="0"/>
          <w:marBottom w:val="120"/>
          <w:divBdr>
            <w:top w:val="none" w:sz="0" w:space="0" w:color="auto"/>
            <w:left w:val="none" w:sz="0" w:space="0" w:color="auto"/>
            <w:bottom w:val="none" w:sz="0" w:space="0" w:color="auto"/>
            <w:right w:val="none" w:sz="0" w:space="0" w:color="auto"/>
          </w:divBdr>
        </w:div>
        <w:div w:id="1794402050">
          <w:marLeft w:val="720"/>
          <w:marRight w:val="0"/>
          <w:marTop w:val="0"/>
          <w:marBottom w:val="120"/>
          <w:divBdr>
            <w:top w:val="none" w:sz="0" w:space="0" w:color="auto"/>
            <w:left w:val="none" w:sz="0" w:space="0" w:color="auto"/>
            <w:bottom w:val="none" w:sz="0" w:space="0" w:color="auto"/>
            <w:right w:val="none" w:sz="0" w:space="0" w:color="auto"/>
          </w:divBdr>
        </w:div>
        <w:div w:id="1360399496">
          <w:marLeft w:val="720"/>
          <w:marRight w:val="0"/>
          <w:marTop w:val="0"/>
          <w:marBottom w:val="120"/>
          <w:divBdr>
            <w:top w:val="none" w:sz="0" w:space="0" w:color="auto"/>
            <w:left w:val="none" w:sz="0" w:space="0" w:color="auto"/>
            <w:bottom w:val="none" w:sz="0" w:space="0" w:color="auto"/>
            <w:right w:val="none" w:sz="0" w:space="0" w:color="auto"/>
          </w:divBdr>
        </w:div>
        <w:div w:id="531646828">
          <w:marLeft w:val="720"/>
          <w:marRight w:val="0"/>
          <w:marTop w:val="0"/>
          <w:marBottom w:val="120"/>
          <w:divBdr>
            <w:top w:val="none" w:sz="0" w:space="0" w:color="auto"/>
            <w:left w:val="none" w:sz="0" w:space="0" w:color="auto"/>
            <w:bottom w:val="none" w:sz="0" w:space="0" w:color="auto"/>
            <w:right w:val="none" w:sz="0" w:space="0" w:color="auto"/>
          </w:divBdr>
        </w:div>
        <w:div w:id="1967615449">
          <w:marLeft w:val="720"/>
          <w:marRight w:val="0"/>
          <w:marTop w:val="0"/>
          <w:marBottom w:val="120"/>
          <w:divBdr>
            <w:top w:val="none" w:sz="0" w:space="0" w:color="auto"/>
            <w:left w:val="none" w:sz="0" w:space="0" w:color="auto"/>
            <w:bottom w:val="none" w:sz="0" w:space="0" w:color="auto"/>
            <w:right w:val="none" w:sz="0" w:space="0" w:color="auto"/>
          </w:divBdr>
        </w:div>
        <w:div w:id="1027608966">
          <w:marLeft w:val="720"/>
          <w:marRight w:val="0"/>
          <w:marTop w:val="0"/>
          <w:marBottom w:val="120"/>
          <w:divBdr>
            <w:top w:val="none" w:sz="0" w:space="0" w:color="auto"/>
            <w:left w:val="none" w:sz="0" w:space="0" w:color="auto"/>
            <w:bottom w:val="none" w:sz="0" w:space="0" w:color="auto"/>
            <w:right w:val="none" w:sz="0" w:space="0" w:color="auto"/>
          </w:divBdr>
        </w:div>
        <w:div w:id="215166825">
          <w:marLeft w:val="720"/>
          <w:marRight w:val="0"/>
          <w:marTop w:val="0"/>
          <w:marBottom w:val="120"/>
          <w:divBdr>
            <w:top w:val="none" w:sz="0" w:space="0" w:color="auto"/>
            <w:left w:val="none" w:sz="0" w:space="0" w:color="auto"/>
            <w:bottom w:val="none" w:sz="0" w:space="0" w:color="auto"/>
            <w:right w:val="none" w:sz="0" w:space="0" w:color="auto"/>
          </w:divBdr>
        </w:div>
      </w:divsChild>
    </w:div>
    <w:div w:id="1774739774">
      <w:bodyDiv w:val="1"/>
      <w:marLeft w:val="0"/>
      <w:marRight w:val="0"/>
      <w:marTop w:val="0"/>
      <w:marBottom w:val="0"/>
      <w:divBdr>
        <w:top w:val="none" w:sz="0" w:space="0" w:color="auto"/>
        <w:left w:val="none" w:sz="0" w:space="0" w:color="auto"/>
        <w:bottom w:val="none" w:sz="0" w:space="0" w:color="auto"/>
        <w:right w:val="none" w:sz="0" w:space="0" w:color="auto"/>
      </w:divBdr>
    </w:div>
    <w:div w:id="20489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g.org/tpbmtg" TargetMode="External"/><Relationship Id="rId13" Type="http://schemas.openxmlformats.org/officeDocument/2006/relationships/hyperlink" Target="http://www.mwcog.org/subscribe/" TargetMode="External"/><Relationship Id="rId18" Type="http://schemas.openxmlformats.org/officeDocument/2006/relationships/hyperlink" Target="https://www.mwcog.org/tpbaf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wcog.org/tpbcomment/" TargetMode="External"/><Relationship Id="rId7" Type="http://schemas.openxmlformats.org/officeDocument/2006/relationships/webSettings" Target="webSettings.xml"/><Relationship Id="rId12" Type="http://schemas.openxmlformats.org/officeDocument/2006/relationships/hyperlink" Target="http://www.mwcog.org/tpbnews" TargetMode="External"/><Relationship Id="rId17" Type="http://schemas.openxmlformats.org/officeDocument/2006/relationships/hyperlink" Target="https://www.mwcog.org/tpbafa/" TargetMode="External"/><Relationship Id="rId25" Type="http://schemas.openxmlformats.org/officeDocument/2006/relationships/hyperlink" Target="mailto:bhayes@mwcog.org" TargetMode="External"/><Relationship Id="rId2" Type="http://schemas.openxmlformats.org/officeDocument/2006/relationships/customXml" Target="../customXml/item2.xml"/><Relationship Id="rId16" Type="http://schemas.openxmlformats.org/officeDocument/2006/relationships/hyperlink" Target="https://www.mwcog.org/tpbafa/" TargetMode="External"/><Relationship Id="rId20" Type="http://schemas.openxmlformats.org/officeDocument/2006/relationships/hyperlink" Target="http://www.visualize2045.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wcog.org/tpbnews" TargetMode="External"/><Relationship Id="rId24" Type="http://schemas.openxmlformats.org/officeDocument/2006/relationships/hyperlink" Target="https://www.mwcog.org/tpbcomment/" TargetMode="External"/><Relationship Id="rId5" Type="http://schemas.openxmlformats.org/officeDocument/2006/relationships/styles" Target="styles.xml"/><Relationship Id="rId15" Type="http://schemas.openxmlformats.org/officeDocument/2006/relationships/hyperlink" Target="http://www.mwcog.org/subscribe/" TargetMode="External"/><Relationship Id="rId23" Type="http://schemas.openxmlformats.org/officeDocument/2006/relationships/hyperlink" Target="https://www.mwcog.org/tpbcomment/" TargetMode="External"/><Relationship Id="rId10" Type="http://schemas.openxmlformats.org/officeDocument/2006/relationships/hyperlink" Target="mailto:TPBcomment@mwcog.org" TargetMode="External"/><Relationship Id="rId19" Type="http://schemas.openxmlformats.org/officeDocument/2006/relationships/hyperlink" Target="https://www.mwcog.org/tpbafa/" TargetMode="External"/><Relationship Id="rId4" Type="http://schemas.openxmlformats.org/officeDocument/2006/relationships/numbering" Target="numbering.xml"/><Relationship Id="rId9" Type="http://schemas.openxmlformats.org/officeDocument/2006/relationships/hyperlink" Target="mailto:TPBcomment@mwcog.org" TargetMode="External"/><Relationship Id="rId14" Type="http://schemas.openxmlformats.org/officeDocument/2006/relationships/hyperlink" Target="http://www.mwcog.org/subscribe/" TargetMode="External"/><Relationship Id="rId22" Type="http://schemas.openxmlformats.org/officeDocument/2006/relationships/hyperlink" Target="https://www.mwcog.org/tpbcom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C40915884AB449D96E82552F9DCB9" ma:contentTypeVersion="13" ma:contentTypeDescription="Create a new document." ma:contentTypeScope="" ma:versionID="f6aec3b799063c5dffe8f1e1162772f2">
  <xsd:schema xmlns:xsd="http://www.w3.org/2001/XMLSchema" xmlns:xs="http://www.w3.org/2001/XMLSchema" xmlns:p="http://schemas.microsoft.com/office/2006/metadata/properties" xmlns:ns3="5f269649-416a-4e7a-bf83-6aa7ffdd00ec" xmlns:ns4="e8252f63-4a4b-492c-a805-d19c9d85e3a7" targetNamespace="http://schemas.microsoft.com/office/2006/metadata/properties" ma:root="true" ma:fieldsID="826378bb85502df9d7b3fa8d34aa9870" ns3:_="" ns4:_="">
    <xsd:import namespace="5f269649-416a-4e7a-bf83-6aa7ffdd00ec"/>
    <xsd:import namespace="e8252f63-4a4b-492c-a805-d19c9d85e3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69649-416a-4e7a-bf83-6aa7ffdd00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52f63-4a4b-492c-a805-d19c9d85e3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C7132-84EF-4863-A08E-BACA444C3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E92EE-CFEB-485F-BF52-78F9C28AED7D}">
  <ds:schemaRefs>
    <ds:schemaRef ds:uri="http://schemas.microsoft.com/sharepoint/v3/contenttype/forms"/>
  </ds:schemaRefs>
</ds:datastoreItem>
</file>

<file path=customXml/itemProps3.xml><?xml version="1.0" encoding="utf-8"?>
<ds:datastoreItem xmlns:ds="http://schemas.openxmlformats.org/officeDocument/2006/customXml" ds:itemID="{8E5574A0-D9DD-4297-9F78-D48FB312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69649-416a-4e7a-bf83-6aa7ffdd00ec"/>
    <ds:schemaRef ds:uri="e8252f63-4a4b-492c-a805-d19c9d85e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Hayes</dc:creator>
  <cp:keywords/>
  <dc:description/>
  <cp:lastModifiedBy>Bryan Hayes</cp:lastModifiedBy>
  <cp:revision>23</cp:revision>
  <dcterms:created xsi:type="dcterms:W3CDTF">2020-05-31T16:34:00Z</dcterms:created>
  <dcterms:modified xsi:type="dcterms:W3CDTF">2020-06-01T14:55:00Z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0x010100D89C40915884AB449D96E82552F9DCB9</vt:lpwstr>
  </property>
</Properties>
</file>